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EE6" w:rsidRDefault="00C07EE6" w:rsidP="00C07EE6">
      <w:pPr>
        <w:overflowPunct w:val="0"/>
        <w:autoSpaceDE w:val="0"/>
        <w:autoSpaceDN w:val="0"/>
        <w:adjustRightInd w:val="0"/>
        <w:spacing w:after="0"/>
        <w:jc w:val="both"/>
        <w:textAlignment w:val="baseline"/>
        <w:rPr>
          <w:rFonts w:ascii="Arial" w:eastAsia="Times New Roman" w:hAnsi="Arial"/>
          <w:b/>
          <w:sz w:val="20"/>
          <w:lang w:val="fr-CA"/>
        </w:rPr>
      </w:pPr>
      <w:bookmarkStart w:id="0" w:name="_Toc57894752"/>
    </w:p>
    <w:tbl>
      <w:tblPr>
        <w:tblpPr w:leftFromText="187" w:rightFromText="187" w:vertAnchor="page" w:horzAnchor="margin" w:tblpY="4066"/>
        <w:tblW w:w="5000" w:type="pct"/>
        <w:tblCellMar>
          <w:top w:w="216" w:type="dxa"/>
          <w:left w:w="216" w:type="dxa"/>
          <w:bottom w:w="216" w:type="dxa"/>
          <w:right w:w="216" w:type="dxa"/>
        </w:tblCellMar>
        <w:tblLook w:val="04A0" w:firstRow="1" w:lastRow="0" w:firstColumn="1" w:lastColumn="0" w:noHBand="0" w:noVBand="1"/>
      </w:tblPr>
      <w:tblGrid>
        <w:gridCol w:w="8632"/>
        <w:gridCol w:w="438"/>
      </w:tblGrid>
      <w:tr w:rsidR="007F4D5E" w:rsidRPr="007F4D5E" w:rsidTr="007F4D5E">
        <w:tc>
          <w:tcPr>
            <w:tcW w:w="8804" w:type="dxa"/>
            <w:tcBorders>
              <w:bottom w:val="single" w:sz="18" w:space="0" w:color="808080" w:themeColor="background1" w:themeShade="80"/>
              <w:right w:val="single" w:sz="18" w:space="0" w:color="808080" w:themeColor="background1" w:themeShade="80"/>
            </w:tcBorders>
            <w:vAlign w:val="center"/>
          </w:tcPr>
          <w:p w:rsidR="007F4D5E" w:rsidRDefault="007F4D5E" w:rsidP="009F411B">
            <w:pPr>
              <w:pStyle w:val="Titre1"/>
              <w:rPr>
                <w:rFonts w:ascii="Arial" w:eastAsiaTheme="minorEastAsia" w:hAnsi="Arial" w:cs="Arial"/>
                <w:b/>
                <w:bCs/>
                <w:color w:val="auto"/>
                <w:sz w:val="24"/>
                <w:szCs w:val="24"/>
                <w:lang w:val="fr-CA"/>
              </w:rPr>
            </w:pPr>
            <w:r w:rsidRPr="007F4D5E">
              <w:rPr>
                <w:rFonts w:ascii="Arial" w:eastAsiaTheme="minorEastAsia" w:hAnsi="Arial" w:cs="Arial"/>
                <w:b/>
                <w:bCs/>
                <w:color w:val="auto"/>
                <w:sz w:val="24"/>
                <w:szCs w:val="24"/>
                <w:lang w:val="fr-CA"/>
              </w:rPr>
              <w:t xml:space="preserve"> MINISTERE DU PETROLE ET DE L’ENERGIE</w:t>
            </w:r>
          </w:p>
          <w:p w:rsidR="007F4D5E" w:rsidRPr="007F4D5E" w:rsidRDefault="007F4D5E" w:rsidP="009F411B">
            <w:pPr>
              <w:pStyle w:val="Titre1"/>
              <w:rPr>
                <w:rFonts w:ascii="Arial" w:hAnsi="Arial" w:cs="Arial"/>
                <w:sz w:val="24"/>
                <w:szCs w:val="24"/>
                <w:lang w:val="fr-CA"/>
              </w:rPr>
            </w:pPr>
            <w:r w:rsidRPr="00830E21">
              <w:rPr>
                <w:b/>
                <w:noProof/>
                <w:sz w:val="24"/>
                <w:szCs w:val="24"/>
                <w:lang w:val="fr-CA" w:eastAsia="fr-CA"/>
              </w:rPr>
              <w:drawing>
                <wp:inline distT="0" distB="0" distL="0" distR="0" wp14:anchorId="668C0E10" wp14:editId="26046277">
                  <wp:extent cx="5315490" cy="836930"/>
                  <wp:effectExtent l="0" t="0" r="0" b="0"/>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srcRect/>
                          <a:stretch>
                            <a:fillRect/>
                          </a:stretch>
                        </pic:blipFill>
                        <pic:spPr bwMode="auto">
                          <a:xfrm>
                            <a:off x="0" y="0"/>
                            <a:ext cx="5711494" cy="899281"/>
                          </a:xfrm>
                          <a:prstGeom prst="rect">
                            <a:avLst/>
                          </a:prstGeom>
                          <a:noFill/>
                          <a:ln w="9525">
                            <a:noFill/>
                            <a:miter lim="800000"/>
                            <a:headEnd/>
                            <a:tailEnd/>
                          </a:ln>
                        </pic:spPr>
                      </pic:pic>
                    </a:graphicData>
                  </a:graphic>
                </wp:inline>
              </w:drawing>
            </w:r>
            <w:r w:rsidRPr="007F4D5E">
              <w:rPr>
                <w:rFonts w:ascii="Arial" w:eastAsiaTheme="minorEastAsia" w:hAnsi="Arial" w:cs="Arial"/>
                <w:b/>
                <w:bCs/>
                <w:color w:val="auto"/>
                <w:sz w:val="24"/>
                <w:szCs w:val="24"/>
                <w:lang w:val="fr-CA"/>
              </w:rPr>
              <w:t xml:space="preserve">            </w:t>
            </w:r>
          </w:p>
        </w:tc>
        <w:tc>
          <w:tcPr>
            <w:tcW w:w="698" w:type="dxa"/>
            <w:tcBorders>
              <w:left w:val="single" w:sz="18" w:space="0" w:color="808080" w:themeColor="background1" w:themeShade="80"/>
              <w:bottom w:val="single" w:sz="18" w:space="0" w:color="808080" w:themeColor="background1" w:themeShade="80"/>
            </w:tcBorders>
            <w:vAlign w:val="center"/>
          </w:tcPr>
          <w:p w:rsidR="007F4D5E" w:rsidRPr="007F4D5E" w:rsidRDefault="007F4D5E" w:rsidP="009F411B">
            <w:pPr>
              <w:pStyle w:val="Sansinterligne"/>
              <w:rPr>
                <w:rFonts w:asciiTheme="majorHAnsi" w:eastAsiaTheme="majorEastAsia" w:hAnsiTheme="majorHAnsi" w:cstheme="majorBidi"/>
                <w:sz w:val="36"/>
                <w:szCs w:val="36"/>
                <w:lang w:val="fr-CA"/>
              </w:rPr>
            </w:pPr>
          </w:p>
        </w:tc>
      </w:tr>
      <w:tr w:rsidR="007F4D5E" w:rsidRPr="007F4D5E" w:rsidTr="007F4D5E">
        <w:tc>
          <w:tcPr>
            <w:tcW w:w="8804" w:type="dxa"/>
            <w:tcBorders>
              <w:top w:val="single" w:sz="18" w:space="0" w:color="808080" w:themeColor="background1" w:themeShade="80"/>
              <w:bottom w:val="single" w:sz="18" w:space="0" w:color="808080" w:themeColor="background1" w:themeShade="80"/>
            </w:tcBorders>
            <w:vAlign w:val="center"/>
          </w:tcPr>
          <w:p w:rsidR="007F4D5E" w:rsidRDefault="007F4D5E" w:rsidP="007F4D5E">
            <w:pPr>
              <w:rPr>
                <w:rFonts w:ascii="Arial" w:hAnsi="Arial"/>
                <w:b/>
                <w:sz w:val="40"/>
                <w:szCs w:val="40"/>
                <w:lang w:val="fr-CA"/>
              </w:rPr>
            </w:pPr>
          </w:p>
          <w:p w:rsidR="007F4D5E" w:rsidRPr="007F4D5E" w:rsidRDefault="007F4D5E" w:rsidP="009F411B">
            <w:pPr>
              <w:jc w:val="center"/>
              <w:rPr>
                <w:rFonts w:ascii="Arial" w:hAnsi="Arial"/>
                <w:b/>
                <w:sz w:val="40"/>
                <w:szCs w:val="40"/>
                <w:lang w:val="fr-CA"/>
              </w:rPr>
            </w:pPr>
            <w:r w:rsidRPr="007F4D5E">
              <w:rPr>
                <w:rFonts w:ascii="Arial" w:hAnsi="Arial"/>
                <w:b/>
                <w:sz w:val="40"/>
                <w:szCs w:val="40"/>
                <w:lang w:val="fr-CA"/>
              </w:rPr>
              <w:t>RAPPORT QUADRIENNAL D’AVANCEMENT DES ACTIVITES ITIE-TCHAD</w:t>
            </w:r>
          </w:p>
          <w:p w:rsidR="007F4D5E" w:rsidRPr="007F4D5E" w:rsidRDefault="007F4D5E" w:rsidP="009F411B">
            <w:pPr>
              <w:jc w:val="center"/>
              <w:rPr>
                <w:rFonts w:ascii="Arial" w:hAnsi="Arial"/>
                <w:b/>
                <w:sz w:val="36"/>
                <w:szCs w:val="36"/>
                <w:lang w:val="fr-CA"/>
              </w:rPr>
            </w:pPr>
            <w:r w:rsidRPr="007F4D5E">
              <w:rPr>
                <w:rFonts w:ascii="Arial" w:hAnsi="Arial"/>
                <w:b/>
                <w:sz w:val="40"/>
                <w:szCs w:val="40"/>
                <w:lang w:val="fr-CA"/>
              </w:rPr>
              <w:t>2018 - 2021</w:t>
            </w:r>
          </w:p>
          <w:p w:rsidR="007F4D5E" w:rsidRPr="007F4D5E" w:rsidRDefault="007F4D5E" w:rsidP="009F411B">
            <w:pPr>
              <w:pStyle w:val="Sansinterligne"/>
              <w:rPr>
                <w:sz w:val="44"/>
                <w:szCs w:val="44"/>
                <w:lang w:val="fr-CA"/>
              </w:rPr>
            </w:pPr>
          </w:p>
        </w:tc>
        <w:tc>
          <w:tcPr>
            <w:tcW w:w="698" w:type="dxa"/>
            <w:tcBorders>
              <w:top w:val="single" w:sz="18" w:space="0" w:color="808080" w:themeColor="background1" w:themeShade="80"/>
              <w:bottom w:val="single" w:sz="18" w:space="0" w:color="808080" w:themeColor="background1" w:themeShade="80"/>
            </w:tcBorders>
            <w:vAlign w:val="center"/>
          </w:tcPr>
          <w:p w:rsidR="007F4D5E" w:rsidRPr="007F4D5E" w:rsidRDefault="007F4D5E" w:rsidP="009F411B">
            <w:pPr>
              <w:pStyle w:val="Sansinterligne"/>
              <w:rPr>
                <w:rFonts w:asciiTheme="majorHAnsi" w:eastAsiaTheme="majorEastAsia" w:hAnsiTheme="majorHAnsi" w:cstheme="majorBidi"/>
                <w:sz w:val="36"/>
                <w:szCs w:val="36"/>
                <w:lang w:val="fr-CA"/>
              </w:rPr>
            </w:pPr>
          </w:p>
        </w:tc>
      </w:tr>
      <w:tr w:rsidR="007F4D5E" w:rsidTr="007F4D5E">
        <w:trPr>
          <w:trHeight w:val="110"/>
        </w:trPr>
        <w:tc>
          <w:tcPr>
            <w:tcW w:w="8804" w:type="dxa"/>
            <w:tcBorders>
              <w:top w:val="single" w:sz="18" w:space="0" w:color="808080" w:themeColor="background1" w:themeShade="80"/>
              <w:bottom w:val="single" w:sz="18" w:space="0" w:color="808080" w:themeColor="background1" w:themeShade="80"/>
            </w:tcBorders>
            <w:vAlign w:val="center"/>
          </w:tcPr>
          <w:p w:rsidR="007F4D5E" w:rsidRPr="005F1CCB" w:rsidRDefault="009975CC" w:rsidP="009F411B">
            <w:pPr>
              <w:rPr>
                <w:rFonts w:ascii="Arial" w:hAnsi="Arial"/>
                <w:b/>
                <w:sz w:val="24"/>
              </w:rPr>
            </w:pPr>
            <w:r w:rsidRPr="005F1CCB">
              <w:rPr>
                <w:rFonts w:ascii="Arial" w:hAnsi="Arial"/>
                <w:b/>
                <w:sz w:val="24"/>
                <w:u w:val="single"/>
              </w:rPr>
              <w:t>Redaction</w:t>
            </w:r>
            <w:r w:rsidR="007F4D5E" w:rsidRPr="005F1CCB">
              <w:rPr>
                <w:rFonts w:ascii="Arial" w:hAnsi="Arial"/>
                <w:b/>
                <w:sz w:val="24"/>
              </w:rPr>
              <w:t xml:space="preserve"> : </w:t>
            </w:r>
            <w:r w:rsidRPr="005F1CCB">
              <w:rPr>
                <w:rFonts w:ascii="Arial" w:hAnsi="Arial"/>
                <w:b/>
                <w:sz w:val="24"/>
              </w:rPr>
              <w:t>S</w:t>
            </w:r>
            <w:r>
              <w:rPr>
                <w:rFonts w:ascii="Arial" w:hAnsi="Arial"/>
                <w:b/>
                <w:sz w:val="24"/>
              </w:rPr>
              <w:t>ecretariat</w:t>
            </w:r>
            <w:r w:rsidR="007F4D5E">
              <w:rPr>
                <w:rFonts w:ascii="Arial" w:hAnsi="Arial"/>
                <w:b/>
                <w:sz w:val="24"/>
              </w:rPr>
              <w:t xml:space="preserve"> Technique Permanent</w:t>
            </w:r>
          </w:p>
        </w:tc>
        <w:tc>
          <w:tcPr>
            <w:tcW w:w="698" w:type="dxa"/>
            <w:tcBorders>
              <w:top w:val="single" w:sz="18" w:space="0" w:color="808080" w:themeColor="background1" w:themeShade="80"/>
              <w:bottom w:val="single" w:sz="18" w:space="0" w:color="808080" w:themeColor="background1" w:themeShade="80"/>
            </w:tcBorders>
            <w:vAlign w:val="center"/>
          </w:tcPr>
          <w:p w:rsidR="007F4D5E" w:rsidRDefault="007F4D5E" w:rsidP="009F411B">
            <w:pPr>
              <w:pStyle w:val="Sansinterligne"/>
              <w:jc w:val="center"/>
              <w:rPr>
                <w:rFonts w:asciiTheme="majorHAnsi" w:eastAsiaTheme="majorEastAsia" w:hAnsiTheme="majorHAnsi" w:cstheme="majorBidi"/>
                <w:sz w:val="36"/>
                <w:szCs w:val="36"/>
              </w:rPr>
            </w:pPr>
          </w:p>
        </w:tc>
      </w:tr>
      <w:tr w:rsidR="007F4D5E" w:rsidTr="007F4D5E">
        <w:tc>
          <w:tcPr>
            <w:tcW w:w="8804" w:type="dxa"/>
            <w:tcBorders>
              <w:top w:val="single" w:sz="18" w:space="0" w:color="808080" w:themeColor="background1" w:themeShade="80"/>
              <w:bottom w:val="single" w:sz="18" w:space="0" w:color="808080" w:themeColor="background1" w:themeShade="80"/>
            </w:tcBorders>
            <w:vAlign w:val="center"/>
          </w:tcPr>
          <w:p w:rsidR="007F4D5E" w:rsidRPr="005F1CCB" w:rsidRDefault="007F4D5E" w:rsidP="009F411B">
            <w:pPr>
              <w:rPr>
                <w:rFonts w:ascii="Arial" w:hAnsi="Arial"/>
                <w:b/>
                <w:sz w:val="24"/>
              </w:rPr>
            </w:pPr>
            <w:r w:rsidRPr="005F1CCB">
              <w:rPr>
                <w:rFonts w:ascii="Arial" w:hAnsi="Arial"/>
                <w:b/>
                <w:sz w:val="24"/>
                <w:u w:val="single"/>
              </w:rPr>
              <w:t>Supervision </w:t>
            </w:r>
            <w:r w:rsidRPr="005F1CCB">
              <w:rPr>
                <w:rFonts w:ascii="Arial" w:hAnsi="Arial"/>
                <w:b/>
                <w:sz w:val="24"/>
              </w:rPr>
              <w:t>: H</w:t>
            </w:r>
            <w:r>
              <w:rPr>
                <w:rFonts w:ascii="Arial" w:hAnsi="Arial"/>
                <w:b/>
                <w:sz w:val="24"/>
              </w:rPr>
              <w:t xml:space="preserve">aut </w:t>
            </w:r>
            <w:proofErr w:type="spellStart"/>
            <w:r w:rsidRPr="005F1CCB">
              <w:rPr>
                <w:rFonts w:ascii="Arial" w:hAnsi="Arial"/>
                <w:b/>
                <w:sz w:val="24"/>
              </w:rPr>
              <w:t>C</w:t>
            </w:r>
            <w:r>
              <w:rPr>
                <w:rFonts w:ascii="Arial" w:hAnsi="Arial"/>
                <w:b/>
                <w:sz w:val="24"/>
              </w:rPr>
              <w:t>omité</w:t>
            </w:r>
            <w:proofErr w:type="spellEnd"/>
            <w:r>
              <w:rPr>
                <w:rFonts w:ascii="Arial" w:hAnsi="Arial"/>
                <w:b/>
                <w:sz w:val="24"/>
              </w:rPr>
              <w:t xml:space="preserve"> </w:t>
            </w:r>
            <w:r w:rsidRPr="005F1CCB">
              <w:rPr>
                <w:rFonts w:ascii="Arial" w:hAnsi="Arial"/>
                <w:b/>
                <w:sz w:val="24"/>
              </w:rPr>
              <w:t>N</w:t>
            </w:r>
            <w:r>
              <w:rPr>
                <w:rFonts w:ascii="Arial" w:hAnsi="Arial"/>
                <w:b/>
                <w:sz w:val="24"/>
              </w:rPr>
              <w:t>ational</w:t>
            </w:r>
          </w:p>
        </w:tc>
        <w:tc>
          <w:tcPr>
            <w:tcW w:w="698" w:type="dxa"/>
            <w:tcBorders>
              <w:top w:val="single" w:sz="18" w:space="0" w:color="808080" w:themeColor="background1" w:themeShade="80"/>
              <w:bottom w:val="single" w:sz="18" w:space="0" w:color="808080" w:themeColor="background1" w:themeShade="80"/>
            </w:tcBorders>
            <w:vAlign w:val="center"/>
          </w:tcPr>
          <w:p w:rsidR="007F4D5E" w:rsidRDefault="007F4D5E" w:rsidP="009F411B">
            <w:pPr>
              <w:pStyle w:val="Sansinterligne"/>
              <w:jc w:val="center"/>
              <w:rPr>
                <w:rFonts w:asciiTheme="majorHAnsi" w:eastAsiaTheme="majorEastAsia" w:hAnsiTheme="majorHAnsi" w:cstheme="majorBidi"/>
                <w:sz w:val="36"/>
                <w:szCs w:val="36"/>
              </w:rPr>
            </w:pPr>
          </w:p>
        </w:tc>
      </w:tr>
      <w:tr w:rsidR="007F4D5E" w:rsidTr="007F4D5E">
        <w:tc>
          <w:tcPr>
            <w:tcW w:w="8804" w:type="dxa"/>
            <w:tcBorders>
              <w:top w:val="single" w:sz="18" w:space="0" w:color="808080" w:themeColor="background1" w:themeShade="80"/>
            </w:tcBorders>
            <w:vAlign w:val="center"/>
          </w:tcPr>
          <w:p w:rsidR="007F4D5E" w:rsidRDefault="007F4D5E" w:rsidP="009F411B">
            <w:pPr>
              <w:rPr>
                <w:rFonts w:ascii="Arial" w:hAnsi="Arial"/>
                <w:b/>
                <w:sz w:val="24"/>
              </w:rPr>
            </w:pPr>
            <w:r>
              <w:rPr>
                <w:rFonts w:ascii="Arial" w:hAnsi="Arial"/>
                <w:b/>
                <w:sz w:val="24"/>
              </w:rPr>
              <w:t xml:space="preserve"> </w:t>
            </w:r>
          </w:p>
          <w:p w:rsidR="007F4D5E" w:rsidRPr="005F1CCB" w:rsidRDefault="009975CC" w:rsidP="009975CC">
            <w:pPr>
              <w:rPr>
                <w:rFonts w:ascii="Arial" w:hAnsi="Arial"/>
                <w:b/>
                <w:sz w:val="24"/>
              </w:rPr>
            </w:pPr>
            <w:r>
              <w:rPr>
                <w:rFonts w:ascii="Arial" w:hAnsi="Arial"/>
                <w:b/>
                <w:sz w:val="24"/>
              </w:rPr>
              <w:t xml:space="preserve">                                                                                                       </w:t>
            </w:r>
            <w:r w:rsidR="007F4D5E">
              <w:rPr>
                <w:rFonts w:ascii="Arial" w:hAnsi="Arial"/>
                <w:b/>
                <w:sz w:val="24"/>
              </w:rPr>
              <w:t>Mars 2022</w:t>
            </w:r>
          </w:p>
        </w:tc>
        <w:tc>
          <w:tcPr>
            <w:tcW w:w="698" w:type="dxa"/>
            <w:tcBorders>
              <w:top w:val="single" w:sz="18" w:space="0" w:color="808080" w:themeColor="background1" w:themeShade="80"/>
            </w:tcBorders>
            <w:vAlign w:val="center"/>
          </w:tcPr>
          <w:p w:rsidR="007F4D5E" w:rsidRDefault="007F4D5E" w:rsidP="009F411B">
            <w:pPr>
              <w:pStyle w:val="Sansinterligne"/>
              <w:rPr>
                <w:rFonts w:asciiTheme="majorHAnsi" w:eastAsiaTheme="majorEastAsia" w:hAnsiTheme="majorHAnsi" w:cstheme="majorBidi"/>
                <w:sz w:val="36"/>
                <w:szCs w:val="36"/>
              </w:rPr>
            </w:pPr>
          </w:p>
        </w:tc>
      </w:tr>
    </w:tbl>
    <w:p w:rsidR="007F4D5E" w:rsidRDefault="007F4D5E" w:rsidP="007F4D5E">
      <w:pPr>
        <w:overflowPunct w:val="0"/>
        <w:autoSpaceDE w:val="0"/>
        <w:autoSpaceDN w:val="0"/>
        <w:adjustRightInd w:val="0"/>
        <w:spacing w:after="0"/>
        <w:jc w:val="both"/>
        <w:textAlignment w:val="baseline"/>
        <w:rPr>
          <w:rFonts w:ascii="Arial" w:eastAsia="Times New Roman" w:hAnsi="Arial"/>
          <w:b/>
          <w:sz w:val="20"/>
          <w:lang w:val="fr-CA"/>
        </w:rPr>
      </w:pPr>
      <w:r w:rsidRPr="00182E4B">
        <w:rPr>
          <w:rFonts w:ascii="Arial" w:eastAsia="Times New Roman" w:hAnsi="Arial"/>
          <w:b/>
          <w:noProof/>
          <w:sz w:val="20"/>
          <w:lang w:val="fr-CA" w:eastAsia="fr-CA"/>
        </w:rPr>
        <w:drawing>
          <wp:anchor distT="0" distB="0" distL="114300" distR="114300" simplePos="0" relativeHeight="251655168" behindDoc="0" locked="0" layoutInCell="1" allowOverlap="1" wp14:anchorId="17CBF28A" wp14:editId="06244924">
            <wp:simplePos x="0" y="0"/>
            <wp:positionH relativeFrom="column">
              <wp:posOffset>2595245</wp:posOffset>
            </wp:positionH>
            <wp:positionV relativeFrom="paragraph">
              <wp:posOffset>163195</wp:posOffset>
            </wp:positionV>
            <wp:extent cx="901839" cy="742950"/>
            <wp:effectExtent l="0" t="0" r="0" b="0"/>
            <wp:wrapNone/>
            <wp:docPr id="23" name="Imag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a:hlinkClick r:id="rId12"/>
                    </pic:cNvPr>
                    <pic:cNvPicPr>
                      <a:picLocks noChangeAspect="1" noChangeArrowheads="1"/>
                    </pic:cNvPicPr>
                  </pic:nvPicPr>
                  <pic:blipFill>
                    <a:blip r:embed="rId13" cstate="print"/>
                    <a:srcRect/>
                    <a:stretch>
                      <a:fillRect/>
                    </a:stretch>
                  </pic:blipFill>
                  <pic:spPr bwMode="auto">
                    <a:xfrm>
                      <a:off x="0" y="0"/>
                      <a:ext cx="910896" cy="7504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4D5E">
        <w:rPr>
          <w:rFonts w:ascii="Arial" w:eastAsia="Times New Roman" w:hAnsi="Arial"/>
          <w:b/>
          <w:sz w:val="20"/>
          <w:lang w:val="fr-CA"/>
        </w:rPr>
        <w:t>REPUBLIQUE DU TCHAD</w:t>
      </w:r>
      <w:r w:rsidRPr="007F4D5E">
        <w:rPr>
          <w:rFonts w:ascii="Arial" w:eastAsia="Times New Roman" w:hAnsi="Arial"/>
          <w:b/>
          <w:sz w:val="20"/>
          <w:lang w:val="fr-CA"/>
        </w:rPr>
        <w:tab/>
        <w:t xml:space="preserve">                        </w:t>
      </w:r>
      <w:r>
        <w:rPr>
          <w:rFonts w:ascii="Arial" w:eastAsia="Times New Roman" w:hAnsi="Arial"/>
          <w:b/>
          <w:sz w:val="20"/>
          <w:lang w:val="fr-CA"/>
        </w:rPr>
        <w:t xml:space="preserve">                          </w:t>
      </w:r>
      <w:r w:rsidRPr="007F4D5E">
        <w:rPr>
          <w:rFonts w:ascii="Arial" w:eastAsia="Times New Roman" w:hAnsi="Arial"/>
          <w:b/>
          <w:sz w:val="20"/>
          <w:lang w:val="fr-CA"/>
        </w:rPr>
        <w:t xml:space="preserve"> </w:t>
      </w:r>
      <w:r>
        <w:rPr>
          <w:rFonts w:ascii="Arial" w:eastAsia="Times New Roman" w:hAnsi="Arial"/>
          <w:b/>
          <w:sz w:val="20"/>
          <w:lang w:val="fr-CA"/>
        </w:rPr>
        <w:t>UNITE – TRAVAIL – PROGRE</w:t>
      </w:r>
      <w:r w:rsidR="00C35804">
        <w:rPr>
          <w:rFonts w:ascii="Arial" w:eastAsia="Times New Roman" w:hAnsi="Arial"/>
          <w:b/>
          <w:sz w:val="20"/>
          <w:lang w:val="fr-CA"/>
        </w:rPr>
        <w:t>S</w:t>
      </w:r>
    </w:p>
    <w:p w:rsidR="007F4D5E" w:rsidRDefault="007F4D5E" w:rsidP="007F4D5E">
      <w:pPr>
        <w:overflowPunct w:val="0"/>
        <w:autoSpaceDE w:val="0"/>
        <w:autoSpaceDN w:val="0"/>
        <w:adjustRightInd w:val="0"/>
        <w:spacing w:after="0"/>
        <w:ind w:left="28"/>
        <w:jc w:val="both"/>
        <w:textAlignment w:val="baseline"/>
        <w:rPr>
          <w:rFonts w:ascii="Arial" w:eastAsia="Times New Roman" w:hAnsi="Arial"/>
          <w:b/>
          <w:sz w:val="20"/>
          <w:lang w:val="fr-CA"/>
        </w:rPr>
      </w:pPr>
      <w:r>
        <w:rPr>
          <w:rFonts w:ascii="Arial" w:eastAsia="Times New Roman" w:hAnsi="Arial"/>
          <w:b/>
          <w:sz w:val="20"/>
          <w:lang w:val="fr-CA"/>
        </w:rPr>
        <w:t>CONSEIL MILITAIRE DE TRANSITION</w:t>
      </w:r>
    </w:p>
    <w:p w:rsidR="007F4D5E" w:rsidRPr="007F4D5E" w:rsidRDefault="007F4D5E" w:rsidP="007F4D5E">
      <w:pPr>
        <w:overflowPunct w:val="0"/>
        <w:autoSpaceDE w:val="0"/>
        <w:autoSpaceDN w:val="0"/>
        <w:adjustRightInd w:val="0"/>
        <w:spacing w:after="0"/>
        <w:ind w:left="28"/>
        <w:jc w:val="both"/>
        <w:textAlignment w:val="baseline"/>
        <w:rPr>
          <w:rFonts w:ascii="Arial" w:eastAsia="Times New Roman" w:hAnsi="Arial"/>
          <w:b/>
          <w:sz w:val="20"/>
          <w:lang w:val="fr-CA"/>
        </w:rPr>
      </w:pPr>
      <w:r w:rsidRPr="007F4D5E">
        <w:rPr>
          <w:rFonts w:ascii="Arial" w:eastAsia="Times New Roman" w:hAnsi="Arial"/>
          <w:b/>
          <w:sz w:val="20"/>
          <w:lang w:val="fr-CA"/>
        </w:rPr>
        <w:t xml:space="preserve">PRESIDENCE DU CONSEIL  </w:t>
      </w:r>
    </w:p>
    <w:p w:rsidR="007F4D5E" w:rsidRPr="007F4D5E" w:rsidRDefault="007F4D5E" w:rsidP="009975CC">
      <w:pPr>
        <w:overflowPunct w:val="0"/>
        <w:autoSpaceDE w:val="0"/>
        <w:autoSpaceDN w:val="0"/>
        <w:adjustRightInd w:val="0"/>
        <w:spacing w:after="0"/>
        <w:jc w:val="both"/>
        <w:textAlignment w:val="baseline"/>
        <w:rPr>
          <w:rFonts w:ascii="Arial" w:eastAsia="Times New Roman" w:hAnsi="Arial"/>
          <w:b/>
          <w:sz w:val="20"/>
          <w:lang w:val="fr-CA"/>
        </w:rPr>
      </w:pPr>
      <w:r w:rsidRPr="007F4D5E">
        <w:rPr>
          <w:rFonts w:ascii="Arial" w:eastAsia="Times New Roman" w:hAnsi="Arial"/>
          <w:b/>
          <w:sz w:val="20"/>
          <w:lang w:val="fr-CA"/>
        </w:rPr>
        <w:t xml:space="preserve">PRIMATURE </w:t>
      </w:r>
    </w:p>
    <w:p w:rsidR="00C627DF" w:rsidRPr="009975CC" w:rsidRDefault="007F4D5E" w:rsidP="009975CC">
      <w:pPr>
        <w:overflowPunct w:val="0"/>
        <w:autoSpaceDE w:val="0"/>
        <w:autoSpaceDN w:val="0"/>
        <w:adjustRightInd w:val="0"/>
        <w:spacing w:after="0"/>
        <w:ind w:left="28"/>
        <w:jc w:val="both"/>
        <w:textAlignment w:val="baseline"/>
        <w:rPr>
          <w:rFonts w:ascii="Arial" w:eastAsia="Times New Roman" w:hAnsi="Arial"/>
          <w:b/>
          <w:sz w:val="20"/>
          <w:lang w:val="fr-CA"/>
        </w:rPr>
      </w:pPr>
      <w:r>
        <w:rPr>
          <w:rFonts w:ascii="Arial" w:eastAsia="Times New Roman" w:hAnsi="Arial"/>
          <w:b/>
          <w:sz w:val="20"/>
          <w:lang w:val="fr-CA"/>
        </w:rPr>
        <w:lastRenderedPageBreak/>
        <w:t xml:space="preserve">        </w:t>
      </w:r>
      <w:r w:rsidRPr="007F4D5E">
        <w:rPr>
          <w:rFonts w:ascii="Arial" w:eastAsia="Times New Roman" w:hAnsi="Arial"/>
          <w:b/>
          <w:sz w:val="20"/>
          <w:lang w:val="fr-CA"/>
        </w:rPr>
        <w:t xml:space="preserve">                                                                    </w:t>
      </w:r>
      <w:r w:rsidR="00C35804" w:rsidRPr="00830E21">
        <w:rPr>
          <w:b/>
          <w:noProof/>
          <w:sz w:val="24"/>
          <w:lang w:val="fr-CA" w:eastAsia="fr-CA"/>
        </w:rPr>
        <w:drawing>
          <wp:inline distT="0" distB="0" distL="0" distR="0" wp14:anchorId="4A67AB0C" wp14:editId="0619BBD6">
            <wp:extent cx="5314950" cy="1084495"/>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srcRect/>
                    <a:stretch>
                      <a:fillRect/>
                    </a:stretch>
                  </pic:blipFill>
                  <pic:spPr bwMode="auto">
                    <a:xfrm>
                      <a:off x="0" y="0"/>
                      <a:ext cx="5732352" cy="1169664"/>
                    </a:xfrm>
                    <a:prstGeom prst="rect">
                      <a:avLst/>
                    </a:prstGeom>
                    <a:noFill/>
                    <a:ln w="9525">
                      <a:noFill/>
                      <a:miter lim="800000"/>
                      <a:headEnd/>
                      <a:tailEnd/>
                    </a:ln>
                  </pic:spPr>
                </pic:pic>
              </a:graphicData>
            </a:graphic>
          </wp:inline>
        </w:drawing>
      </w:r>
      <w:r w:rsidRPr="007F4D5E">
        <w:rPr>
          <w:rFonts w:ascii="Arial" w:eastAsia="Times New Roman" w:hAnsi="Arial"/>
          <w:b/>
          <w:sz w:val="20"/>
          <w:lang w:val="fr-CA"/>
        </w:rPr>
        <w:t xml:space="preserve">      </w:t>
      </w:r>
    </w:p>
    <w:p w:rsidR="009975CC" w:rsidRDefault="009975CC" w:rsidP="00C627DF">
      <w:pPr>
        <w:jc w:val="center"/>
        <w:rPr>
          <w:b/>
          <w:sz w:val="24"/>
          <w:lang w:val="fr-CA"/>
        </w:rPr>
      </w:pPr>
    </w:p>
    <w:p w:rsidR="00C627DF" w:rsidRPr="007F4D5E" w:rsidRDefault="00C627DF" w:rsidP="00C627DF">
      <w:pPr>
        <w:jc w:val="center"/>
        <w:rPr>
          <w:b/>
          <w:sz w:val="24"/>
          <w:lang w:val="fr-CA"/>
        </w:rPr>
      </w:pPr>
      <w:r w:rsidRPr="007F4D5E">
        <w:rPr>
          <w:b/>
          <w:sz w:val="24"/>
          <w:lang w:val="fr-CA"/>
        </w:rPr>
        <w:t>TABLE DES MATIERES</w:t>
      </w:r>
    </w:p>
    <w:p w:rsidR="00C627DF" w:rsidRPr="003244B6" w:rsidRDefault="00C627DF" w:rsidP="00C627DF">
      <w:pPr>
        <w:jc w:val="both"/>
        <w:rPr>
          <w:rFonts w:ascii="Arial" w:hAnsi="Arial"/>
          <w:b/>
          <w:sz w:val="24"/>
          <w:lang w:val="fr-CA"/>
        </w:rPr>
      </w:pPr>
    </w:p>
    <w:p w:rsidR="00C627DF" w:rsidRPr="00C627DF" w:rsidRDefault="00C627DF" w:rsidP="00964112">
      <w:pPr>
        <w:pStyle w:val="Paragraphedeliste"/>
        <w:numPr>
          <w:ilvl w:val="0"/>
          <w:numId w:val="1"/>
        </w:numPr>
        <w:spacing w:before="0" w:after="200"/>
        <w:contextualSpacing/>
        <w:jc w:val="both"/>
        <w:rPr>
          <w:rFonts w:ascii="Arial" w:hAnsi="Arial"/>
          <w:b/>
          <w:sz w:val="24"/>
          <w:lang w:val="fr-CA"/>
        </w:rPr>
      </w:pPr>
      <w:r w:rsidRPr="00C627DF">
        <w:rPr>
          <w:rFonts w:ascii="Arial" w:hAnsi="Arial"/>
          <w:b/>
          <w:sz w:val="24"/>
          <w:lang w:val="fr-CA"/>
        </w:rPr>
        <w:t xml:space="preserve">EVALUATION GENERALE DE LA PERFORMANCE QUADRIENNALE :  </w:t>
      </w:r>
    </w:p>
    <w:p w:rsidR="00C627DF" w:rsidRPr="00C627DF" w:rsidRDefault="00C627DF" w:rsidP="00C627DF">
      <w:pPr>
        <w:pStyle w:val="Paragraphedeliste"/>
        <w:ind w:left="1080"/>
        <w:jc w:val="both"/>
        <w:rPr>
          <w:rFonts w:ascii="Arial" w:hAnsi="Arial"/>
          <w:b/>
          <w:sz w:val="24"/>
          <w:lang w:val="fr-CA"/>
        </w:rPr>
      </w:pPr>
    </w:p>
    <w:p w:rsidR="00C627DF" w:rsidRPr="00C627DF" w:rsidRDefault="00C627DF" w:rsidP="00964112">
      <w:pPr>
        <w:pStyle w:val="Paragraphedeliste"/>
        <w:numPr>
          <w:ilvl w:val="0"/>
          <w:numId w:val="1"/>
        </w:numPr>
        <w:spacing w:before="0" w:after="200"/>
        <w:contextualSpacing/>
        <w:jc w:val="both"/>
        <w:rPr>
          <w:rFonts w:ascii="Arial" w:hAnsi="Arial"/>
          <w:b/>
          <w:sz w:val="24"/>
          <w:lang w:val="fr-CA"/>
        </w:rPr>
      </w:pPr>
      <w:r w:rsidRPr="00C627DF">
        <w:rPr>
          <w:rFonts w:ascii="Arial" w:hAnsi="Arial"/>
          <w:b/>
          <w:sz w:val="24"/>
          <w:lang w:val="fr-CA"/>
        </w:rPr>
        <w:t>EVALUATION DES PERFORMANCES VIS-A-VIS DES OBJECTIFS ET DES ACTIVITES DEFINIS DANS LE PLAN DE TRAVAIL : </w:t>
      </w:r>
    </w:p>
    <w:p w:rsidR="00C627DF" w:rsidRPr="00C07EE6" w:rsidRDefault="00C627DF" w:rsidP="00C07EE6">
      <w:pPr>
        <w:pStyle w:val="Paragraphedeliste"/>
        <w:rPr>
          <w:rFonts w:ascii="Arial" w:hAnsi="Arial"/>
          <w:b/>
          <w:sz w:val="24"/>
          <w:lang w:val="fr-CA"/>
        </w:rPr>
      </w:pPr>
      <w:r w:rsidRPr="00C627DF">
        <w:rPr>
          <w:rFonts w:ascii="Arial" w:hAnsi="Arial"/>
          <w:b/>
          <w:sz w:val="24"/>
          <w:lang w:val="fr-CA"/>
        </w:rPr>
        <w:t xml:space="preserve"> </w:t>
      </w:r>
    </w:p>
    <w:p w:rsidR="00C627DF" w:rsidRPr="00C627DF" w:rsidRDefault="00C627DF" w:rsidP="00964112">
      <w:pPr>
        <w:pStyle w:val="Paragraphedeliste"/>
        <w:numPr>
          <w:ilvl w:val="0"/>
          <w:numId w:val="1"/>
        </w:numPr>
        <w:spacing w:before="0" w:after="200"/>
        <w:contextualSpacing/>
        <w:jc w:val="both"/>
        <w:rPr>
          <w:rFonts w:ascii="Arial" w:hAnsi="Arial"/>
          <w:b/>
          <w:sz w:val="24"/>
          <w:lang w:val="fr-CA"/>
        </w:rPr>
      </w:pPr>
      <w:r w:rsidRPr="00C627DF">
        <w:rPr>
          <w:rFonts w:ascii="Arial" w:hAnsi="Arial"/>
          <w:b/>
          <w:sz w:val="24"/>
          <w:lang w:val="fr-CA"/>
        </w:rPr>
        <w:t xml:space="preserve">EVALUATION DES PERFORMANCES PAR RAPPORT AUX EXIGENCES DE LA NORME ITIE : </w:t>
      </w:r>
    </w:p>
    <w:p w:rsidR="00C627DF" w:rsidRPr="00C627DF" w:rsidRDefault="00C627DF" w:rsidP="00C627DF">
      <w:pPr>
        <w:pStyle w:val="Paragraphedeliste"/>
        <w:ind w:left="1080"/>
        <w:jc w:val="both"/>
        <w:rPr>
          <w:rFonts w:ascii="Arial" w:hAnsi="Arial"/>
          <w:b/>
          <w:sz w:val="24"/>
          <w:lang w:val="fr-CA"/>
        </w:rPr>
      </w:pPr>
    </w:p>
    <w:p w:rsidR="00C627DF" w:rsidRPr="00C627DF" w:rsidRDefault="00C627DF" w:rsidP="00964112">
      <w:pPr>
        <w:pStyle w:val="Paragraphedeliste"/>
        <w:numPr>
          <w:ilvl w:val="0"/>
          <w:numId w:val="1"/>
        </w:numPr>
        <w:spacing w:before="0" w:after="200"/>
        <w:contextualSpacing/>
        <w:jc w:val="both"/>
        <w:rPr>
          <w:rFonts w:ascii="Arial" w:hAnsi="Arial"/>
          <w:b/>
          <w:sz w:val="24"/>
          <w:lang w:val="fr-CA"/>
        </w:rPr>
      </w:pPr>
      <w:r w:rsidRPr="00C627DF">
        <w:rPr>
          <w:rFonts w:ascii="Arial" w:hAnsi="Arial"/>
          <w:b/>
          <w:sz w:val="24"/>
          <w:lang w:val="fr-CA"/>
        </w:rPr>
        <w:t xml:space="preserve">APERCU DES REPONSES DU GROUPE MULTIPARTITE AUX RECOMMANDATIONS ISSUES DE LA RECONCILIATION ET DE LA VALIDATION :   </w:t>
      </w:r>
    </w:p>
    <w:p w:rsidR="00C627DF" w:rsidRPr="00C627DF" w:rsidRDefault="00C627DF" w:rsidP="00964112">
      <w:pPr>
        <w:pStyle w:val="Paragraphedeliste"/>
        <w:numPr>
          <w:ilvl w:val="0"/>
          <w:numId w:val="13"/>
        </w:numPr>
        <w:spacing w:before="0" w:after="200" w:line="276" w:lineRule="auto"/>
        <w:contextualSpacing/>
        <w:rPr>
          <w:rFonts w:ascii="Arial" w:hAnsi="Arial"/>
          <w:b/>
          <w:color w:val="FF0000"/>
          <w:u w:val="single"/>
          <w:lang w:val="fr-CA"/>
        </w:rPr>
      </w:pPr>
      <w:r w:rsidRPr="00C627DF">
        <w:rPr>
          <w:rFonts w:ascii="Arial" w:hAnsi="Arial"/>
          <w:b/>
          <w:u w:val="single"/>
          <w:lang w:val="fr-CA"/>
        </w:rPr>
        <w:t>Réponses du groupe multipartite aux recommandations issues des Rapports ITIE 2016 à 2018.</w:t>
      </w:r>
    </w:p>
    <w:p w:rsidR="00C627DF" w:rsidRPr="00C627DF" w:rsidRDefault="00C627DF" w:rsidP="00964112">
      <w:pPr>
        <w:pStyle w:val="Paragraphedeliste"/>
        <w:numPr>
          <w:ilvl w:val="0"/>
          <w:numId w:val="13"/>
        </w:numPr>
        <w:spacing w:before="0" w:after="200" w:line="276" w:lineRule="auto"/>
        <w:contextualSpacing/>
        <w:rPr>
          <w:rFonts w:ascii="Arial" w:hAnsi="Arial"/>
          <w:b/>
          <w:color w:val="FF0000"/>
          <w:u w:val="single"/>
          <w:lang w:val="fr-CA"/>
        </w:rPr>
      </w:pPr>
      <w:r w:rsidRPr="00C627DF">
        <w:rPr>
          <w:rFonts w:ascii="Arial" w:hAnsi="Arial"/>
          <w:b/>
          <w:u w:val="single"/>
          <w:lang w:val="fr-CA"/>
        </w:rPr>
        <w:t>Suivi des mesures correctives issues de la dernière validation du Tchad.</w:t>
      </w:r>
    </w:p>
    <w:p w:rsidR="00C627DF" w:rsidRPr="00C627DF" w:rsidRDefault="00C627DF" w:rsidP="00C627DF">
      <w:pPr>
        <w:pStyle w:val="Paragraphedeliste"/>
        <w:ind w:left="1080"/>
        <w:rPr>
          <w:rFonts w:ascii="Arial" w:hAnsi="Arial"/>
          <w:color w:val="FF0000"/>
          <w:sz w:val="24"/>
          <w:lang w:val="fr-CA"/>
        </w:rPr>
      </w:pPr>
    </w:p>
    <w:p w:rsidR="00C627DF" w:rsidRPr="00C627DF" w:rsidRDefault="00C627DF" w:rsidP="00964112">
      <w:pPr>
        <w:pStyle w:val="Paragraphedeliste"/>
        <w:numPr>
          <w:ilvl w:val="0"/>
          <w:numId w:val="1"/>
        </w:numPr>
        <w:spacing w:before="0" w:after="0" w:line="276" w:lineRule="auto"/>
        <w:contextualSpacing/>
        <w:rPr>
          <w:rFonts w:ascii="Arial" w:hAnsi="Arial"/>
          <w:b/>
          <w:sz w:val="24"/>
          <w:lang w:val="fr-CA"/>
        </w:rPr>
      </w:pPr>
      <w:r w:rsidRPr="00C627DF">
        <w:rPr>
          <w:rFonts w:ascii="Arial" w:hAnsi="Arial"/>
          <w:b/>
          <w:sz w:val="24"/>
          <w:lang w:val="fr-CA"/>
        </w:rPr>
        <w:t>IMPACT DE LA MISE EN ŒUVRE DE L’ITIE AU TCHAD :</w:t>
      </w:r>
    </w:p>
    <w:p w:rsidR="00C627DF" w:rsidRPr="00C627DF" w:rsidRDefault="00C627DF" w:rsidP="00C627DF">
      <w:pPr>
        <w:spacing w:after="0"/>
        <w:ind w:left="360" w:firstLine="348"/>
        <w:rPr>
          <w:rFonts w:ascii="Arial" w:hAnsi="Arial"/>
          <w:b/>
          <w:u w:val="single"/>
          <w:lang w:val="fr-CA"/>
        </w:rPr>
      </w:pPr>
      <w:r w:rsidRPr="00C627DF">
        <w:rPr>
          <w:rFonts w:ascii="Arial" w:hAnsi="Arial"/>
          <w:b/>
          <w:lang w:val="fr-CA"/>
        </w:rPr>
        <w:t xml:space="preserve">A) - </w:t>
      </w:r>
      <w:r w:rsidRPr="00C627DF">
        <w:rPr>
          <w:rFonts w:ascii="Arial" w:hAnsi="Arial"/>
          <w:b/>
          <w:u w:val="single"/>
          <w:lang w:val="fr-CA"/>
        </w:rPr>
        <w:t>les forces de la mise en œuvre au Tchad.</w:t>
      </w:r>
    </w:p>
    <w:p w:rsidR="00C627DF" w:rsidRPr="00C627DF" w:rsidRDefault="00C627DF" w:rsidP="00C627DF">
      <w:pPr>
        <w:spacing w:after="0"/>
        <w:rPr>
          <w:rFonts w:ascii="Arial" w:hAnsi="Arial"/>
          <w:b/>
          <w:u w:val="single"/>
          <w:lang w:val="fr-CA"/>
        </w:rPr>
      </w:pPr>
      <w:r w:rsidRPr="00C627DF">
        <w:rPr>
          <w:rFonts w:ascii="Arial" w:hAnsi="Arial"/>
          <w:b/>
          <w:lang w:val="fr-CA"/>
        </w:rPr>
        <w:t xml:space="preserve">     </w:t>
      </w:r>
      <w:r w:rsidRPr="00C627DF">
        <w:rPr>
          <w:rFonts w:ascii="Arial" w:hAnsi="Arial"/>
          <w:b/>
          <w:lang w:val="fr-CA"/>
        </w:rPr>
        <w:tab/>
        <w:t xml:space="preserve">B) - </w:t>
      </w:r>
      <w:r w:rsidRPr="00C627DF">
        <w:rPr>
          <w:rFonts w:ascii="Arial" w:hAnsi="Arial"/>
          <w:b/>
          <w:u w:val="single"/>
          <w:lang w:val="fr-CA"/>
        </w:rPr>
        <w:t>les faiblesses de la mise en œuvre au Tchad.</w:t>
      </w:r>
    </w:p>
    <w:p w:rsidR="00C627DF" w:rsidRPr="00C627DF" w:rsidRDefault="00C627DF" w:rsidP="00C627DF">
      <w:pPr>
        <w:spacing w:after="0"/>
        <w:rPr>
          <w:rFonts w:ascii="Arial" w:hAnsi="Arial"/>
          <w:b/>
          <w:sz w:val="24"/>
          <w:lang w:val="fr-CA"/>
        </w:rPr>
      </w:pPr>
    </w:p>
    <w:p w:rsidR="00C627DF" w:rsidRPr="00C627DF" w:rsidRDefault="00C627DF" w:rsidP="00964112">
      <w:pPr>
        <w:pStyle w:val="Paragraphedeliste"/>
        <w:numPr>
          <w:ilvl w:val="0"/>
          <w:numId w:val="1"/>
        </w:numPr>
        <w:spacing w:before="0" w:after="200" w:line="276" w:lineRule="auto"/>
        <w:contextualSpacing/>
        <w:rPr>
          <w:rFonts w:ascii="Arial" w:hAnsi="Arial"/>
          <w:b/>
          <w:sz w:val="24"/>
          <w:lang w:val="fr-CA"/>
        </w:rPr>
      </w:pPr>
      <w:r w:rsidRPr="00C627DF">
        <w:rPr>
          <w:rFonts w:ascii="Arial" w:hAnsi="Arial"/>
          <w:b/>
          <w:sz w:val="24"/>
          <w:lang w:val="fr-CA"/>
        </w:rPr>
        <w:t xml:space="preserve">COUT TOTAL DE LA MISE EN ŒUVRE (informations financières) : </w:t>
      </w:r>
    </w:p>
    <w:p w:rsidR="00C627DF" w:rsidRPr="00C627DF" w:rsidRDefault="00C627DF" w:rsidP="00C627DF">
      <w:pPr>
        <w:pStyle w:val="Paragraphedeliste"/>
        <w:rPr>
          <w:rFonts w:ascii="Arial" w:hAnsi="Arial"/>
          <w:b/>
          <w:sz w:val="24"/>
          <w:lang w:val="fr-CA"/>
        </w:rPr>
      </w:pPr>
    </w:p>
    <w:p w:rsidR="00C627DF" w:rsidRPr="00C627DF" w:rsidRDefault="00C627DF" w:rsidP="00964112">
      <w:pPr>
        <w:pStyle w:val="Paragraphedeliste"/>
        <w:numPr>
          <w:ilvl w:val="0"/>
          <w:numId w:val="1"/>
        </w:numPr>
        <w:spacing w:before="0" w:after="200" w:line="276" w:lineRule="auto"/>
        <w:contextualSpacing/>
        <w:rPr>
          <w:rFonts w:ascii="Arial" w:hAnsi="Arial"/>
          <w:b/>
          <w:color w:val="000000" w:themeColor="text1"/>
          <w:sz w:val="24"/>
          <w:lang w:val="fr-CA"/>
        </w:rPr>
      </w:pPr>
      <w:r w:rsidRPr="00C627DF">
        <w:rPr>
          <w:rFonts w:ascii="Arial" w:hAnsi="Arial"/>
          <w:b/>
          <w:color w:val="000000" w:themeColor="text1"/>
          <w:sz w:val="24"/>
          <w:lang w:val="fr-CA"/>
        </w:rPr>
        <w:t>COMPOSITION DETAILLEE DU GROUPE MULTIPARTITE DURANT LA PERIODE CONCERNEE (2018 à 2021) :</w:t>
      </w:r>
    </w:p>
    <w:p w:rsidR="00C07EE6" w:rsidRPr="00C627DF" w:rsidRDefault="00C07EE6" w:rsidP="00C35804">
      <w:pPr>
        <w:jc w:val="both"/>
        <w:rPr>
          <w:rFonts w:ascii="Arial" w:hAnsi="Arial"/>
          <w:b/>
          <w:sz w:val="24"/>
          <w:lang w:val="fr-CA"/>
        </w:rPr>
      </w:pPr>
    </w:p>
    <w:p w:rsidR="009F411B" w:rsidRDefault="009F411B" w:rsidP="00C627DF">
      <w:pPr>
        <w:rPr>
          <w:rFonts w:ascii="Arial" w:hAnsi="Arial"/>
          <w:b/>
          <w:sz w:val="28"/>
          <w:szCs w:val="28"/>
          <w:lang w:val="fr-CA"/>
        </w:rPr>
      </w:pPr>
    </w:p>
    <w:p w:rsidR="009F411B" w:rsidRDefault="009F411B" w:rsidP="00C627DF">
      <w:pPr>
        <w:rPr>
          <w:rFonts w:ascii="Arial" w:hAnsi="Arial"/>
          <w:b/>
          <w:sz w:val="28"/>
          <w:szCs w:val="28"/>
          <w:lang w:val="fr-CA"/>
        </w:rPr>
      </w:pPr>
    </w:p>
    <w:p w:rsidR="00C627DF" w:rsidRPr="00C627DF" w:rsidRDefault="00C627DF" w:rsidP="00C627DF">
      <w:pPr>
        <w:rPr>
          <w:rFonts w:ascii="Arial" w:hAnsi="Arial"/>
          <w:b/>
          <w:sz w:val="28"/>
          <w:szCs w:val="28"/>
          <w:lang w:val="fr-CA"/>
        </w:rPr>
      </w:pPr>
      <w:r w:rsidRPr="00C627DF">
        <w:rPr>
          <w:rFonts w:ascii="Arial" w:hAnsi="Arial"/>
          <w:b/>
          <w:sz w:val="28"/>
          <w:szCs w:val="28"/>
          <w:lang w:val="fr-CA"/>
        </w:rPr>
        <w:lastRenderedPageBreak/>
        <w:t>Sommaire :</w:t>
      </w:r>
    </w:p>
    <w:p w:rsidR="00C627DF" w:rsidRPr="00C627DF" w:rsidRDefault="00C627DF" w:rsidP="00C627DF">
      <w:pPr>
        <w:spacing w:after="0" w:line="225" w:lineRule="auto"/>
        <w:jc w:val="both"/>
        <w:rPr>
          <w:rFonts w:ascii="Arial" w:hAnsi="Arial"/>
          <w:color w:val="000000" w:themeColor="text1"/>
          <w:kern w:val="24"/>
          <w:sz w:val="24"/>
          <w:lang w:val="fr-CA" w:eastAsia="fr-CA"/>
        </w:rPr>
      </w:pPr>
      <w:r w:rsidRPr="00C627DF">
        <w:rPr>
          <w:rFonts w:ascii="Arial" w:hAnsi="Arial"/>
          <w:color w:val="000000" w:themeColor="text1"/>
          <w:sz w:val="24"/>
          <w:lang w:val="fr-CA"/>
        </w:rPr>
        <w:t xml:space="preserve">Les pays mettant en œuvre l’ITIE sont tenus à publier chaque année, un rapport d’avancement de leurs activités en </w:t>
      </w:r>
      <w:r w:rsidRPr="00C627DF">
        <w:rPr>
          <w:rFonts w:ascii="Arial" w:hAnsi="Arial"/>
          <w:color w:val="000000" w:themeColor="text1"/>
          <w:kern w:val="24"/>
          <w:sz w:val="24"/>
          <w:lang w:val="fr-CA" w:eastAsia="fr-CA"/>
        </w:rPr>
        <w:t>choisissant leur méthode d’évaluation annuelle des résultats et de l’impact de la mise en œuvre de l’ITIE (n°7.4).</w:t>
      </w:r>
    </w:p>
    <w:p w:rsidR="00C627DF" w:rsidRPr="00C627DF" w:rsidRDefault="00C627DF" w:rsidP="00C627DF">
      <w:pPr>
        <w:jc w:val="both"/>
        <w:rPr>
          <w:rFonts w:ascii="Arial" w:hAnsi="Arial"/>
          <w:color w:val="000000" w:themeColor="text1"/>
          <w:sz w:val="24"/>
          <w:lang w:val="fr-CA"/>
        </w:rPr>
      </w:pPr>
      <w:r w:rsidRPr="00C627DF">
        <w:rPr>
          <w:rFonts w:ascii="Arial" w:hAnsi="Arial"/>
          <w:color w:val="000000" w:themeColor="text1"/>
          <w:sz w:val="24"/>
          <w:lang w:val="fr-CA"/>
        </w:rPr>
        <w:t xml:space="preserve">Le présent rapport quadriennal des activités de l’ITIE-TCHAD qui couvre la période de 2018 à 2021, est élaboré en réponse aux exigences (7.1, 2,3 et 4) de la Norme ITIE suivant son évolution de 2016 à 2019. </w:t>
      </w:r>
    </w:p>
    <w:p w:rsidR="00C627DF" w:rsidRPr="00C627DF" w:rsidRDefault="00C627DF" w:rsidP="00C627DF">
      <w:pPr>
        <w:jc w:val="both"/>
        <w:rPr>
          <w:rFonts w:ascii="Arial" w:hAnsi="Arial"/>
          <w:color w:val="000000" w:themeColor="text1"/>
          <w:sz w:val="24"/>
          <w:lang w:val="fr-CA"/>
        </w:rPr>
      </w:pPr>
      <w:r w:rsidRPr="00C627DF">
        <w:rPr>
          <w:rFonts w:ascii="Arial" w:hAnsi="Arial"/>
          <w:color w:val="000000" w:themeColor="text1"/>
          <w:sz w:val="24"/>
          <w:lang w:val="fr-CA"/>
        </w:rPr>
        <w:t>Le dernier rapport d’avancement des activités de l’ITIE Tchad publié datait de 2017.</w:t>
      </w:r>
    </w:p>
    <w:p w:rsidR="00C627DF" w:rsidRPr="00C627DF" w:rsidRDefault="00C627DF" w:rsidP="00C627DF">
      <w:pPr>
        <w:jc w:val="both"/>
        <w:rPr>
          <w:rFonts w:ascii="Arial" w:hAnsi="Arial"/>
          <w:color w:val="FF0000"/>
          <w:sz w:val="20"/>
          <w:szCs w:val="20"/>
          <w:lang w:val="fr-CA"/>
        </w:rPr>
      </w:pPr>
      <w:r w:rsidRPr="00C627DF">
        <w:rPr>
          <w:rFonts w:ascii="Arial" w:hAnsi="Arial"/>
          <w:color w:val="000000" w:themeColor="text1"/>
          <w:sz w:val="24"/>
          <w:lang w:val="fr-CA"/>
        </w:rPr>
        <w:t>Ce retard est dû au</w:t>
      </w:r>
      <w:r w:rsidRPr="00C627DF">
        <w:rPr>
          <w:rFonts w:ascii="Arial" w:eastAsiaTheme="minorHAnsi" w:hAnsi="Arial"/>
          <w:color w:val="000000"/>
          <w:sz w:val="24"/>
          <w:lang w:val="fr-CA"/>
        </w:rPr>
        <w:t xml:space="preserve"> contexte économique, sectoriel et réglementaire que nous évoquerons dans la première partie de ce rapport consacrée à l’évolution des performances </w:t>
      </w:r>
      <w:r w:rsidRPr="00C627DF">
        <w:rPr>
          <w:rFonts w:ascii="Arial" w:hAnsi="Arial"/>
          <w:color w:val="000000" w:themeColor="text1"/>
          <w:sz w:val="24"/>
          <w:lang w:val="fr-CA"/>
        </w:rPr>
        <w:t xml:space="preserve"> générales entreprises depuis la mise en œuvre du processus à nos jours. Ce qui justifie</w:t>
      </w:r>
      <w:r w:rsidRPr="00C627DF">
        <w:rPr>
          <w:rFonts w:ascii="Arial" w:hAnsi="Arial"/>
          <w:sz w:val="24"/>
          <w:lang w:val="fr-CA"/>
        </w:rPr>
        <w:t>, l’élaboration de ce rapport qui inclut toutes les activités inscrites dans le plan de travail triennal de 2018 à 2020 élargie à 2021. (Annexe</w:t>
      </w:r>
      <w:r w:rsidRPr="00C627DF">
        <w:rPr>
          <w:rFonts w:ascii="Arial" w:hAnsi="Arial"/>
          <w:color w:val="000000" w:themeColor="text1"/>
          <w:sz w:val="20"/>
          <w:szCs w:val="20"/>
          <w:lang w:val="fr-CA"/>
        </w:rPr>
        <w:t xml:space="preserve"> 1. Plan de travail triennal ITIE 2018-2020).</w:t>
      </w:r>
    </w:p>
    <w:p w:rsidR="00C627DF" w:rsidRPr="00C627DF" w:rsidRDefault="00C627DF" w:rsidP="00C627DF">
      <w:pPr>
        <w:jc w:val="both"/>
        <w:rPr>
          <w:rFonts w:ascii="Arial" w:hAnsi="Arial"/>
          <w:color w:val="000000" w:themeColor="text1"/>
          <w:sz w:val="24"/>
          <w:lang w:val="fr-CA"/>
        </w:rPr>
      </w:pPr>
      <w:r w:rsidRPr="00C627DF">
        <w:rPr>
          <w:rFonts w:ascii="Arial" w:hAnsi="Arial"/>
          <w:color w:val="000000" w:themeColor="text1"/>
          <w:sz w:val="24"/>
          <w:lang w:val="fr-CA"/>
        </w:rPr>
        <w:t>La seconde partie porte sur l’</w:t>
      </w:r>
      <w:r w:rsidRPr="00C627DF">
        <w:rPr>
          <w:rFonts w:ascii="Arial" w:hAnsi="Arial"/>
          <w:sz w:val="24"/>
          <w:lang w:val="fr-CA"/>
        </w:rPr>
        <w:t>évaluation des performances vis-à-vis des objectifs et des activités définis dans le plan de travail triennal</w:t>
      </w:r>
      <w:r w:rsidRPr="00C627DF">
        <w:rPr>
          <w:rFonts w:ascii="Arial" w:hAnsi="Arial"/>
          <w:color w:val="000000" w:themeColor="text1"/>
          <w:sz w:val="24"/>
          <w:lang w:val="fr-CA"/>
        </w:rPr>
        <w:t>.</w:t>
      </w:r>
      <w:r w:rsidRPr="00C627DF">
        <w:rPr>
          <w:rFonts w:ascii="Arial" w:hAnsi="Arial"/>
          <w:sz w:val="24"/>
          <w:lang w:val="fr-CA"/>
        </w:rPr>
        <w:t xml:space="preserve"> </w:t>
      </w:r>
    </w:p>
    <w:p w:rsidR="00C627DF" w:rsidRPr="00C627DF" w:rsidRDefault="00C627DF" w:rsidP="00C627DF">
      <w:pPr>
        <w:jc w:val="both"/>
        <w:rPr>
          <w:rFonts w:ascii="Arial" w:hAnsi="Arial"/>
          <w:color w:val="000000" w:themeColor="text1"/>
          <w:sz w:val="24"/>
          <w:lang w:val="fr-CA"/>
        </w:rPr>
      </w:pPr>
      <w:r w:rsidRPr="00C627DF">
        <w:rPr>
          <w:rFonts w:ascii="Arial" w:hAnsi="Arial"/>
          <w:color w:val="000000" w:themeColor="text1"/>
          <w:sz w:val="24"/>
          <w:lang w:val="fr-CA"/>
        </w:rPr>
        <w:t xml:space="preserve">La troisième partie est consacrée à l’analyse des performances par rapport aux exigences de la Norme et les différents liens entre les activités du plan de travail. </w:t>
      </w:r>
    </w:p>
    <w:p w:rsidR="00C627DF" w:rsidRPr="00C627DF" w:rsidRDefault="00C627DF" w:rsidP="00C627DF">
      <w:pPr>
        <w:jc w:val="both"/>
        <w:rPr>
          <w:rFonts w:ascii="Arial" w:hAnsi="Arial"/>
          <w:color w:val="000000" w:themeColor="text1"/>
          <w:sz w:val="24"/>
          <w:lang w:val="fr-CA"/>
        </w:rPr>
      </w:pPr>
      <w:r w:rsidRPr="00C627DF">
        <w:rPr>
          <w:rFonts w:ascii="Arial" w:hAnsi="Arial"/>
          <w:color w:val="000000" w:themeColor="text1"/>
          <w:sz w:val="24"/>
          <w:lang w:val="fr-CA"/>
        </w:rPr>
        <w:t>La quatrième partie présente un aperçu aux réponses du Groupe Multipartite par rapport aux recommandations issues des trois derniers Rapports ITIE et le suivi des mesures correctives formulées à la dernière validation qui a commencé le 1</w:t>
      </w:r>
      <w:r w:rsidRPr="00C627DF">
        <w:rPr>
          <w:rFonts w:ascii="Arial" w:hAnsi="Arial"/>
          <w:color w:val="000000" w:themeColor="text1"/>
          <w:sz w:val="24"/>
          <w:vertAlign w:val="superscript"/>
          <w:lang w:val="fr-CA"/>
        </w:rPr>
        <w:t>er</w:t>
      </w:r>
      <w:r w:rsidRPr="00C627DF">
        <w:rPr>
          <w:rFonts w:ascii="Arial" w:hAnsi="Arial"/>
          <w:color w:val="000000" w:themeColor="text1"/>
          <w:sz w:val="24"/>
          <w:lang w:val="fr-CA"/>
        </w:rPr>
        <w:t xml:space="preserve"> sept 2018, à l’issue de laquelle le conseil d’administration a décidé en date du </w:t>
      </w:r>
      <w:r w:rsidRPr="00C627DF">
        <w:rPr>
          <w:rFonts w:ascii="Arial" w:hAnsi="Arial"/>
          <w:sz w:val="24"/>
          <w:lang w:val="fr-CA"/>
        </w:rPr>
        <w:t>08 mai 2019</w:t>
      </w:r>
      <w:r w:rsidRPr="00C627DF">
        <w:rPr>
          <w:rFonts w:ascii="Arial" w:hAnsi="Arial"/>
          <w:color w:val="000000" w:themeColor="text1"/>
          <w:sz w:val="24"/>
          <w:lang w:val="fr-CA"/>
        </w:rPr>
        <w:t xml:space="preserve"> que le Tchad a accompli des progrès significatifs. </w:t>
      </w:r>
    </w:p>
    <w:p w:rsidR="00C627DF" w:rsidRPr="00C627DF" w:rsidRDefault="00C627DF" w:rsidP="00C627DF">
      <w:pPr>
        <w:jc w:val="both"/>
        <w:rPr>
          <w:rFonts w:ascii="Arial" w:hAnsi="Arial"/>
          <w:color w:val="000000" w:themeColor="text1"/>
          <w:sz w:val="24"/>
          <w:lang w:val="fr-CA"/>
        </w:rPr>
      </w:pPr>
      <w:r w:rsidRPr="00C627DF">
        <w:rPr>
          <w:rFonts w:ascii="Arial" w:hAnsi="Arial"/>
          <w:color w:val="000000" w:themeColor="text1"/>
          <w:sz w:val="24"/>
          <w:lang w:val="fr-CA"/>
        </w:rPr>
        <w:t>La cinquième partie retrace les forces et les faiblesses ainsi qu’une évaluation de l’impact de la mise en œuvre de l’ITIE- Tchad conformément aux objectifs énoncés dans le plan de travail.</w:t>
      </w:r>
    </w:p>
    <w:p w:rsidR="00C627DF" w:rsidRPr="00C627DF" w:rsidRDefault="00C627DF" w:rsidP="00C627DF">
      <w:pPr>
        <w:jc w:val="both"/>
        <w:rPr>
          <w:rFonts w:ascii="Arial" w:hAnsi="Arial"/>
          <w:color w:val="000000" w:themeColor="text1"/>
          <w:sz w:val="24"/>
          <w:lang w:val="fr-CA"/>
        </w:rPr>
      </w:pPr>
      <w:r w:rsidRPr="00C627DF">
        <w:rPr>
          <w:rFonts w:ascii="Arial" w:hAnsi="Arial"/>
          <w:color w:val="000000" w:themeColor="text1"/>
          <w:sz w:val="24"/>
          <w:lang w:val="fr-CA"/>
        </w:rPr>
        <w:t>Les informations financières de la mise en œuvre de l’initiative nationale figurent à la sixième partie de ce rapport.</w:t>
      </w:r>
    </w:p>
    <w:p w:rsidR="00C627DF" w:rsidRPr="00C627DF" w:rsidRDefault="00C627DF" w:rsidP="00C627DF">
      <w:pPr>
        <w:jc w:val="both"/>
        <w:rPr>
          <w:rFonts w:ascii="Arial" w:hAnsi="Arial"/>
          <w:color w:val="000000" w:themeColor="text1"/>
          <w:lang w:val="fr-CA"/>
        </w:rPr>
      </w:pPr>
      <w:r w:rsidRPr="00C627DF">
        <w:rPr>
          <w:rFonts w:ascii="Arial" w:hAnsi="Arial"/>
          <w:color w:val="000000" w:themeColor="text1"/>
          <w:sz w:val="24"/>
          <w:lang w:val="fr-CA"/>
        </w:rPr>
        <w:t xml:space="preserve">La septième partie est réservée à la </w:t>
      </w:r>
      <w:r w:rsidRPr="00C627DF">
        <w:rPr>
          <w:rFonts w:ascii="Arial" w:hAnsi="Arial"/>
          <w:color w:val="000000" w:themeColor="text1"/>
          <w:lang w:val="fr-CA"/>
        </w:rPr>
        <w:t xml:space="preserve">composition détaillée du groupe multipartite durant la période concernée (2018 à 2021).  </w:t>
      </w:r>
    </w:p>
    <w:p w:rsidR="00C627DF" w:rsidRPr="00C627DF" w:rsidRDefault="00C627DF" w:rsidP="00C627DF">
      <w:pPr>
        <w:jc w:val="both"/>
        <w:rPr>
          <w:rFonts w:ascii="Arial" w:hAnsi="Arial"/>
          <w:color w:val="000000" w:themeColor="text1"/>
          <w:sz w:val="24"/>
          <w:lang w:val="fr-CA"/>
        </w:rPr>
      </w:pPr>
      <w:r w:rsidRPr="00C627DF">
        <w:rPr>
          <w:rFonts w:ascii="Arial" w:hAnsi="Arial"/>
          <w:color w:val="000000" w:themeColor="text1"/>
          <w:sz w:val="24"/>
          <w:lang w:val="fr-CA"/>
        </w:rPr>
        <w:t xml:space="preserve">L’objectif de ce rapport est d’évaluer les progrès accomplis en matière de mise en œuvre du processus ITIE au Tchad, ainsi que toutes mesures prises dans le but de les dépasser. </w:t>
      </w:r>
    </w:p>
    <w:p w:rsidR="00C627DF" w:rsidRPr="00C627DF" w:rsidRDefault="00C627DF" w:rsidP="00C627DF">
      <w:pPr>
        <w:jc w:val="both"/>
        <w:rPr>
          <w:rStyle w:val="Marquedecommentaire"/>
          <w:rFonts w:ascii="Arial" w:hAnsi="Arial"/>
          <w:color w:val="000000" w:themeColor="text1"/>
          <w:sz w:val="24"/>
          <w:lang w:val="fr-CA"/>
        </w:rPr>
      </w:pPr>
      <w:r w:rsidRPr="00C627DF">
        <w:rPr>
          <w:rFonts w:ascii="Arial" w:hAnsi="Arial"/>
          <w:color w:val="000000" w:themeColor="text1"/>
          <w:sz w:val="24"/>
          <w:lang w:val="fr-CA"/>
        </w:rPr>
        <w:t>Il reflète les différents avis du groupe Multipartite et toutes les parties prenantes du processus ITIE au Tchad</w:t>
      </w:r>
      <w:r w:rsidRPr="00C627DF">
        <w:rPr>
          <w:rStyle w:val="Marquedecommentaire"/>
          <w:rFonts w:ascii="Arial" w:hAnsi="Arial"/>
          <w:color w:val="000000" w:themeColor="text1"/>
          <w:sz w:val="24"/>
          <w:lang w:val="fr-CA"/>
        </w:rPr>
        <w:t>.</w:t>
      </w:r>
      <w:bookmarkStart w:id="1" w:name="_Toc411512156"/>
    </w:p>
    <w:p w:rsidR="00C627DF" w:rsidRDefault="00C627DF" w:rsidP="00C627DF">
      <w:pPr>
        <w:jc w:val="both"/>
        <w:rPr>
          <w:rFonts w:ascii="Arial" w:hAnsi="Arial"/>
          <w:color w:val="000000" w:themeColor="text1"/>
          <w:sz w:val="24"/>
          <w:lang w:val="fr-CA"/>
        </w:rPr>
      </w:pPr>
      <w:r w:rsidRPr="00C627DF">
        <w:rPr>
          <w:rFonts w:ascii="Arial" w:hAnsi="Arial"/>
          <w:color w:val="000000" w:themeColor="text1"/>
          <w:sz w:val="24"/>
          <w:lang w:val="fr-CA"/>
        </w:rPr>
        <w:t xml:space="preserve">  </w:t>
      </w:r>
    </w:p>
    <w:p w:rsidR="00C35804" w:rsidRPr="00C627DF" w:rsidRDefault="00C35804" w:rsidP="00C627DF">
      <w:pPr>
        <w:jc w:val="both"/>
        <w:rPr>
          <w:rFonts w:ascii="Arial" w:hAnsi="Arial"/>
          <w:color w:val="000000" w:themeColor="text1"/>
          <w:sz w:val="24"/>
          <w:lang w:val="fr-CA"/>
        </w:rPr>
      </w:pPr>
    </w:p>
    <w:p w:rsidR="00C627DF" w:rsidRPr="00555477" w:rsidRDefault="00C627DF" w:rsidP="00964112">
      <w:pPr>
        <w:pStyle w:val="Paragraphedeliste"/>
        <w:numPr>
          <w:ilvl w:val="0"/>
          <w:numId w:val="2"/>
        </w:numPr>
        <w:spacing w:before="0" w:after="200" w:line="360" w:lineRule="auto"/>
        <w:contextualSpacing/>
        <w:jc w:val="both"/>
        <w:rPr>
          <w:color w:val="000000" w:themeColor="text1"/>
          <w:sz w:val="32"/>
          <w:szCs w:val="32"/>
          <w:u w:val="single"/>
        </w:rPr>
      </w:pPr>
      <w:r w:rsidRPr="00B970C5">
        <w:rPr>
          <w:b/>
          <w:color w:val="000000" w:themeColor="text1"/>
          <w:sz w:val="32"/>
          <w:szCs w:val="32"/>
          <w:u w:val="single"/>
        </w:rPr>
        <w:lastRenderedPageBreak/>
        <w:t>EVALUATION GEN</w:t>
      </w:r>
      <w:r>
        <w:rPr>
          <w:b/>
          <w:color w:val="000000" w:themeColor="text1"/>
          <w:sz w:val="32"/>
          <w:szCs w:val="32"/>
          <w:u w:val="single"/>
        </w:rPr>
        <w:t xml:space="preserve">ERALE DE LA PERFORMANCE </w:t>
      </w:r>
      <w:r w:rsidRPr="00B970C5">
        <w:rPr>
          <w:b/>
          <w:color w:val="000000" w:themeColor="text1"/>
          <w:sz w:val="32"/>
          <w:szCs w:val="32"/>
          <w:u w:val="single"/>
        </w:rPr>
        <w:t> </w:t>
      </w:r>
    </w:p>
    <w:bookmarkEnd w:id="1"/>
    <w:p w:rsidR="009F411B" w:rsidRDefault="009F411B" w:rsidP="00C627DF">
      <w:pPr>
        <w:tabs>
          <w:tab w:val="left" w:pos="1230"/>
        </w:tabs>
        <w:autoSpaceDE w:val="0"/>
        <w:autoSpaceDN w:val="0"/>
        <w:adjustRightInd w:val="0"/>
        <w:jc w:val="both"/>
        <w:rPr>
          <w:rFonts w:ascii="Arial" w:hAnsi="Arial"/>
          <w:sz w:val="24"/>
          <w:lang w:val="fr-CA"/>
        </w:rPr>
      </w:pPr>
    </w:p>
    <w:p w:rsidR="00C627DF" w:rsidRPr="00C627DF" w:rsidRDefault="00C627DF" w:rsidP="00C627DF">
      <w:pPr>
        <w:tabs>
          <w:tab w:val="left" w:pos="1230"/>
        </w:tabs>
        <w:autoSpaceDE w:val="0"/>
        <w:autoSpaceDN w:val="0"/>
        <w:adjustRightInd w:val="0"/>
        <w:jc w:val="both"/>
        <w:rPr>
          <w:rFonts w:ascii="Arial" w:hAnsi="Arial"/>
          <w:sz w:val="24"/>
          <w:lang w:val="fr-CA"/>
        </w:rPr>
      </w:pPr>
      <w:r w:rsidRPr="00C627DF">
        <w:rPr>
          <w:rFonts w:ascii="Arial" w:hAnsi="Arial"/>
          <w:sz w:val="24"/>
          <w:lang w:val="fr-CA"/>
        </w:rPr>
        <w:t xml:space="preserve">L’Initiative pour la Transparence dans les Industries Extractives a été mise en place au Tchad en 2017 par le décret N°1074/PR/PM/MP/2007 du 14 Décembre qui a été modifié le 14 Aout 2014 par le décret N° 854/PR/PM/MPME/2014. Ce dernier a par la suite été modifié par le décret actuellement en vigueur N° 1637/PR/MPE/2018 portant institution du mécanisme de mise en œuvre et de suivi de l’ITIE au Tchad du 03 Octobre 2018. </w:t>
      </w:r>
    </w:p>
    <w:p w:rsidR="00C627DF" w:rsidRPr="00C627DF" w:rsidRDefault="00C627DF" w:rsidP="00C627DF">
      <w:pPr>
        <w:tabs>
          <w:tab w:val="left" w:pos="1230"/>
        </w:tabs>
        <w:autoSpaceDE w:val="0"/>
        <w:autoSpaceDN w:val="0"/>
        <w:adjustRightInd w:val="0"/>
        <w:jc w:val="both"/>
        <w:rPr>
          <w:rFonts w:ascii="Arial" w:hAnsi="Arial"/>
          <w:sz w:val="24"/>
          <w:lang w:val="fr-CA"/>
        </w:rPr>
      </w:pPr>
      <w:r w:rsidRPr="00C627DF">
        <w:rPr>
          <w:rFonts w:ascii="Arial" w:hAnsi="Arial"/>
          <w:color w:val="000000" w:themeColor="text1"/>
          <w:sz w:val="24"/>
          <w:lang w:val="fr-CA"/>
        </w:rPr>
        <w:t xml:space="preserve">La candidature du Tchad a été acceptée le 16 avril 2010 et le 15 Octobre 2014, le Conseil d’administration a déclaré le Tchad « pays conforme ».  </w:t>
      </w:r>
    </w:p>
    <w:p w:rsidR="00C627DF" w:rsidRPr="00C627DF" w:rsidRDefault="00C627DF" w:rsidP="00C627DF">
      <w:pPr>
        <w:widowControl w:val="0"/>
        <w:suppressAutoHyphens/>
        <w:spacing w:after="360" w:line="264" w:lineRule="auto"/>
        <w:jc w:val="both"/>
        <w:rPr>
          <w:rFonts w:ascii="Arial" w:hAnsi="Arial"/>
          <w:color w:val="000000" w:themeColor="text1"/>
          <w:sz w:val="24"/>
          <w:lang w:val="fr-CA"/>
        </w:rPr>
      </w:pPr>
      <w:r w:rsidRPr="00C627DF">
        <w:rPr>
          <w:rFonts w:ascii="Arial" w:hAnsi="Arial"/>
          <w:color w:val="000000" w:themeColor="text1"/>
          <w:sz w:val="24"/>
          <w:lang w:val="fr-CA"/>
        </w:rPr>
        <w:t>Le Tchad a publié son premier rapport portant sur les exercices comptables de 2007, 2008 et 2009, en octobre 2012, mais n’a pas satisfait à l’obligation de publier des rapports de manière régulière et ponctuelle, comme le stipulait la première Validation réalisée en mai 2013 en vertu des Règles de l’ITIE</w:t>
      </w:r>
      <w:r w:rsidRPr="00AF5728">
        <w:rPr>
          <w:rFonts w:ascii="Arial" w:eastAsia="Times New Roman" w:hAnsi="Arial"/>
          <w:color w:val="000000" w:themeColor="text1"/>
          <w:sz w:val="24"/>
          <w:vertAlign w:val="superscript"/>
        </w:rPr>
        <w:footnoteReference w:id="1"/>
      </w:r>
      <w:r w:rsidRPr="00C627DF">
        <w:rPr>
          <w:rFonts w:ascii="Arial" w:hAnsi="Arial"/>
          <w:color w:val="000000" w:themeColor="text1"/>
          <w:sz w:val="24"/>
          <w:lang w:val="fr-CA"/>
        </w:rPr>
        <w:t xml:space="preserve">. Les deuxième et troisième Rapports ITIE, portant respectivement sur les exercices de 2010 et de 2011, ont été publiés le 15 mai 2013, mais ils n’ont pas non plus satisfait aux Exigences ITIE en matière d’exhaustivité et de fiabilité, selon la première Validation en vertu des Règles de l’ITIE. Le Rapport ITIE 2012, publié en mars 2014, visait à donner suite aux mesures correctives exigées par le Conseil d’administration de l’ITIE. </w:t>
      </w:r>
    </w:p>
    <w:p w:rsidR="00C627DF" w:rsidRPr="00C627DF" w:rsidRDefault="00C627DF" w:rsidP="00C627DF">
      <w:pPr>
        <w:widowControl w:val="0"/>
        <w:suppressAutoHyphens/>
        <w:spacing w:after="0" w:line="264" w:lineRule="auto"/>
        <w:jc w:val="both"/>
        <w:rPr>
          <w:rFonts w:ascii="Arial" w:hAnsi="Arial"/>
          <w:color w:val="000000"/>
          <w:sz w:val="24"/>
          <w:lang w:val="fr-CA"/>
        </w:rPr>
      </w:pPr>
      <w:r w:rsidRPr="00C627DF">
        <w:rPr>
          <w:rFonts w:ascii="Arial" w:hAnsi="Arial"/>
          <w:sz w:val="24"/>
          <w:lang w:val="fr-CA"/>
        </w:rPr>
        <w:t xml:space="preserve">Le 7éme </w:t>
      </w:r>
      <w:r w:rsidRPr="00C627DF">
        <w:rPr>
          <w:rFonts w:ascii="Arial" w:hAnsi="Arial"/>
          <w:color w:val="000000"/>
          <w:sz w:val="24"/>
          <w:lang w:val="fr-CA"/>
        </w:rPr>
        <w:t>rapport de conciliation pour l’année 2013 qui devrait paraitre avant le 31 Décembre 2015, a été publié en février 2016, soit deux mois après. Mais le HCN s’est enfin rattrapé pour publier au cours de la même année (Décembre 2016), le 8éme rapport de conciliation 2014.</w:t>
      </w:r>
    </w:p>
    <w:p w:rsidR="00C627DF" w:rsidRPr="009F411B" w:rsidRDefault="00C627DF" w:rsidP="009F411B">
      <w:pPr>
        <w:widowControl w:val="0"/>
        <w:suppressAutoHyphens/>
        <w:spacing w:after="0" w:line="264" w:lineRule="auto"/>
        <w:jc w:val="both"/>
        <w:rPr>
          <w:lang w:val="fr-CA"/>
        </w:rPr>
      </w:pPr>
      <w:r w:rsidRPr="00C627DF">
        <w:rPr>
          <w:rFonts w:ascii="Arial" w:hAnsi="Arial"/>
          <w:color w:val="000000" w:themeColor="text1"/>
          <w:sz w:val="24"/>
          <w:lang w:val="fr-CA"/>
        </w:rPr>
        <w:t xml:space="preserve">Le Tchad a ensuite publié des Rapports ITIE tous les ans entre 2016 et 2019, et ce dans un délai de deux ans après la fin de l’exercice financier visé. </w:t>
      </w:r>
    </w:p>
    <w:p w:rsidR="00C627DF" w:rsidRPr="007F4D5E" w:rsidRDefault="00C627DF" w:rsidP="00C627DF">
      <w:pPr>
        <w:widowControl w:val="0"/>
        <w:suppressAutoHyphens/>
        <w:spacing w:after="0"/>
        <w:jc w:val="both"/>
        <w:rPr>
          <w:rFonts w:ascii="Arial" w:hAnsi="Arial"/>
          <w:color w:val="000000" w:themeColor="text1"/>
          <w:sz w:val="24"/>
          <w:lang w:val="fr-CA"/>
        </w:rPr>
      </w:pPr>
      <w:r w:rsidRPr="00C627DF">
        <w:rPr>
          <w:rFonts w:ascii="Arial" w:hAnsi="Arial"/>
          <w:sz w:val="24"/>
          <w:lang w:val="fr-CA"/>
        </w:rPr>
        <w:t xml:space="preserve">Le dernier rapport de conciliation ITIE- Tchad (2019) a été publié le 28 février 2022 et </w:t>
      </w:r>
      <w:bookmarkStart w:id="2" w:name="_GoBack"/>
      <w:bookmarkEnd w:id="2"/>
      <w:r w:rsidRPr="00C627DF">
        <w:rPr>
          <w:rFonts w:ascii="Arial" w:hAnsi="Arial"/>
          <w:sz w:val="24"/>
          <w:lang w:val="fr-CA"/>
        </w:rPr>
        <w:t>celui de 2020 en cours d’élaboration devrait être publie au plus tard le 31 décembre 2022.</w:t>
      </w:r>
    </w:p>
    <w:p w:rsidR="00C627DF" w:rsidRPr="00C627DF" w:rsidRDefault="00C627DF" w:rsidP="00C627DF">
      <w:pPr>
        <w:widowControl w:val="0"/>
        <w:suppressAutoHyphens/>
        <w:spacing w:after="0"/>
        <w:jc w:val="both"/>
        <w:rPr>
          <w:rFonts w:ascii="Arial" w:hAnsi="Arial"/>
          <w:sz w:val="24"/>
          <w:lang w:val="fr-CA"/>
        </w:rPr>
      </w:pPr>
      <w:r w:rsidRPr="00C627DF">
        <w:rPr>
          <w:rFonts w:ascii="Arial" w:hAnsi="Arial"/>
          <w:sz w:val="24"/>
          <w:lang w:val="fr-CA"/>
        </w:rPr>
        <w:t xml:space="preserve"> </w:t>
      </w:r>
    </w:p>
    <w:p w:rsidR="009F411B" w:rsidRDefault="00C627DF" w:rsidP="00C627DF">
      <w:pPr>
        <w:widowControl w:val="0"/>
        <w:suppressAutoHyphens/>
        <w:spacing w:after="0"/>
        <w:jc w:val="both"/>
        <w:rPr>
          <w:rFonts w:ascii="Arial" w:hAnsi="Arial"/>
          <w:sz w:val="24"/>
          <w:lang w:val="fr-CA"/>
        </w:rPr>
      </w:pPr>
      <w:r w:rsidRPr="00C627DF">
        <w:rPr>
          <w:rFonts w:ascii="Arial" w:hAnsi="Arial"/>
          <w:sz w:val="24"/>
          <w:lang w:val="fr-CA"/>
        </w:rPr>
        <w:t xml:space="preserve">Le Tchad a déjà publié treize rapports ITIE couvrant les années de 2007 à 2019 depuis son adhésion à l’ITIE. </w:t>
      </w:r>
    </w:p>
    <w:p w:rsidR="00C627DF" w:rsidRPr="00C627DF" w:rsidRDefault="00C627DF" w:rsidP="00C627DF">
      <w:pPr>
        <w:widowControl w:val="0"/>
        <w:suppressAutoHyphens/>
        <w:spacing w:after="0"/>
        <w:jc w:val="both"/>
        <w:rPr>
          <w:rFonts w:ascii="Arial" w:hAnsi="Arial"/>
          <w:sz w:val="24"/>
          <w:lang w:val="fr-CA"/>
        </w:rPr>
      </w:pPr>
      <w:r w:rsidRPr="00C627DF">
        <w:rPr>
          <w:rFonts w:ascii="Arial" w:hAnsi="Arial"/>
          <w:sz w:val="24"/>
          <w:lang w:val="fr-CA"/>
        </w:rPr>
        <w:lastRenderedPageBreak/>
        <w:t>Le 15 Mars 2019, le Conseil d’Administration de l’ITIE a décidé, suite à la première validation du Tchad basée sur la Norme 2016 qui a commencé le 1 er septembre 2018, que dans l’ensemble, le pays a accompli des progrès significatifs dans la mise en œuvre de la norme ITIE 2016.</w:t>
      </w:r>
    </w:p>
    <w:p w:rsidR="00C627DF" w:rsidRPr="00C627DF" w:rsidRDefault="00C627DF" w:rsidP="00C627DF">
      <w:pPr>
        <w:spacing w:before="120" w:after="120"/>
        <w:jc w:val="both"/>
        <w:rPr>
          <w:rFonts w:ascii="Arial" w:hAnsi="Arial"/>
          <w:sz w:val="24"/>
          <w:lang w:val="fr-CA"/>
        </w:rPr>
      </w:pPr>
      <w:r w:rsidRPr="00C627DF">
        <w:rPr>
          <w:rFonts w:ascii="Arial" w:hAnsi="Arial"/>
          <w:color w:val="000000"/>
          <w:sz w:val="24"/>
          <w:lang w:val="fr-CA"/>
        </w:rPr>
        <w:t>La décision du conseil d’administration d’ITIE International est assortie de huit mesures correctives à mettre en œuvre dans un délai de dix-huit mois aux fins de satisfaire les exigences non accomplies.</w:t>
      </w:r>
      <w:r w:rsidRPr="00C627DF">
        <w:rPr>
          <w:rFonts w:ascii="Arial" w:hAnsi="Arial"/>
          <w:sz w:val="24"/>
          <w:lang w:val="fr-CA"/>
        </w:rPr>
        <w:t xml:space="preserve"> </w:t>
      </w:r>
    </w:p>
    <w:p w:rsidR="00C627DF" w:rsidRPr="00C627DF" w:rsidRDefault="00C627DF" w:rsidP="00C627DF">
      <w:pPr>
        <w:spacing w:before="120" w:after="120"/>
        <w:jc w:val="both"/>
        <w:rPr>
          <w:rFonts w:ascii="Arial" w:hAnsi="Arial"/>
          <w:sz w:val="24"/>
          <w:lang w:val="fr-CA"/>
        </w:rPr>
      </w:pPr>
      <w:r w:rsidRPr="00C627DF">
        <w:rPr>
          <w:rFonts w:ascii="Arial" w:hAnsi="Arial"/>
          <w:sz w:val="24"/>
          <w:lang w:val="fr-CA"/>
        </w:rPr>
        <w:t xml:space="preserve">La deuxième validation du Tchad par rapport à la norme ITIE 2019 devrait commencer le 8 novembre 2020.     </w:t>
      </w:r>
      <w:r w:rsidRPr="00C627DF">
        <w:rPr>
          <w:rFonts w:ascii="Arial" w:hAnsi="Arial"/>
          <w:sz w:val="24"/>
          <w:lang w:val="fr-CA"/>
        </w:rPr>
        <w:tab/>
        <w:t xml:space="preserve">  </w:t>
      </w:r>
    </w:p>
    <w:p w:rsidR="00C627DF" w:rsidRPr="00C627DF" w:rsidRDefault="00C627DF" w:rsidP="00C627DF">
      <w:pPr>
        <w:spacing w:before="120" w:after="120"/>
        <w:jc w:val="both"/>
        <w:rPr>
          <w:rFonts w:ascii="Arial" w:hAnsi="Arial"/>
          <w:sz w:val="24"/>
          <w:lang w:val="fr-CA"/>
        </w:rPr>
      </w:pPr>
      <w:r w:rsidRPr="00C627DF">
        <w:rPr>
          <w:rFonts w:ascii="Arial" w:hAnsi="Arial"/>
          <w:sz w:val="24"/>
          <w:lang w:val="fr-CA"/>
        </w:rPr>
        <w:t xml:space="preserve">Mais compte tenu de la pandémie du COVID 19, la transition vers le nouveau modèle de validation, le Tchad a demandé une prorogation de l’échéance du 8 novembre 2020 pour le </w:t>
      </w:r>
      <w:r w:rsidRPr="00C627DF">
        <w:rPr>
          <w:rFonts w:ascii="Arial" w:hAnsi="Arial"/>
          <w:color w:val="000000" w:themeColor="text1"/>
          <w:sz w:val="24"/>
          <w:lang w:val="fr-CA"/>
        </w:rPr>
        <w:t>1</w:t>
      </w:r>
      <w:r w:rsidRPr="00C627DF">
        <w:rPr>
          <w:rFonts w:ascii="Arial" w:hAnsi="Arial"/>
          <w:color w:val="000000" w:themeColor="text1"/>
          <w:sz w:val="24"/>
          <w:vertAlign w:val="superscript"/>
          <w:lang w:val="fr-CA"/>
        </w:rPr>
        <w:t>er</w:t>
      </w:r>
      <w:r w:rsidRPr="00C627DF">
        <w:rPr>
          <w:rFonts w:ascii="Arial" w:hAnsi="Arial"/>
          <w:color w:val="000000" w:themeColor="text1"/>
          <w:sz w:val="24"/>
          <w:lang w:val="fr-CA"/>
        </w:rPr>
        <w:t xml:space="preserve"> Octobre 2021</w:t>
      </w:r>
      <w:r w:rsidRPr="00C627DF">
        <w:rPr>
          <w:rFonts w:ascii="Arial" w:hAnsi="Arial"/>
          <w:color w:val="000000"/>
          <w:sz w:val="24"/>
          <w:lang w:val="fr-CA"/>
        </w:rPr>
        <w:t xml:space="preserve">.  Suite aux évènements politiques et </w:t>
      </w:r>
      <w:proofErr w:type="gramStart"/>
      <w:r w:rsidRPr="00C627DF">
        <w:rPr>
          <w:rFonts w:ascii="Arial" w:hAnsi="Arial"/>
          <w:color w:val="000000"/>
          <w:sz w:val="24"/>
          <w:lang w:val="fr-CA"/>
        </w:rPr>
        <w:t>sécuritaires  qu’</w:t>
      </w:r>
      <w:proofErr w:type="gramEnd"/>
      <w:r w:rsidRPr="00C627DF">
        <w:rPr>
          <w:rFonts w:ascii="Arial" w:hAnsi="Arial"/>
          <w:color w:val="000000"/>
          <w:sz w:val="24"/>
          <w:lang w:val="fr-CA"/>
        </w:rPr>
        <w:t xml:space="preserve"> a connu le Pays le Tchad a de nouveau introduit une demande de prorogation qui lui a été accordée pour le 1</w:t>
      </w:r>
      <w:r w:rsidRPr="00C627DF">
        <w:rPr>
          <w:rFonts w:ascii="Arial" w:hAnsi="Arial"/>
          <w:color w:val="000000"/>
          <w:sz w:val="24"/>
          <w:vertAlign w:val="superscript"/>
          <w:lang w:val="fr-CA"/>
        </w:rPr>
        <w:t>er</w:t>
      </w:r>
      <w:r w:rsidRPr="00C627DF">
        <w:rPr>
          <w:rFonts w:ascii="Arial" w:hAnsi="Arial"/>
          <w:color w:val="000000"/>
          <w:sz w:val="24"/>
          <w:lang w:val="fr-CA"/>
        </w:rPr>
        <w:t xml:space="preserve"> avril 2022,</w:t>
      </w:r>
      <w:r w:rsidRPr="00C627DF">
        <w:rPr>
          <w:rFonts w:ascii="Arial" w:hAnsi="Arial"/>
          <w:sz w:val="24"/>
          <w:lang w:val="fr-CA"/>
        </w:rPr>
        <w:t xml:space="preserve"> début de l’ évaluation. </w:t>
      </w:r>
    </w:p>
    <w:p w:rsidR="00C627DF" w:rsidRPr="00C627DF" w:rsidRDefault="00C627DF" w:rsidP="00C627DF">
      <w:pPr>
        <w:spacing w:before="120" w:after="120"/>
        <w:jc w:val="both"/>
        <w:rPr>
          <w:rFonts w:ascii="Arial" w:hAnsi="Arial"/>
          <w:sz w:val="24"/>
          <w:lang w:val="fr-CA"/>
        </w:rPr>
      </w:pPr>
    </w:p>
    <w:p w:rsidR="00C627DF" w:rsidRPr="00C627DF" w:rsidRDefault="00C627DF" w:rsidP="00C627DF">
      <w:pPr>
        <w:rPr>
          <w:rFonts w:eastAsia="Calibri"/>
          <w:b/>
          <w:u w:val="single"/>
          <w:lang w:val="fr-CA"/>
        </w:rPr>
      </w:pPr>
      <w:bookmarkStart w:id="3" w:name="_Toc628338"/>
      <w:r w:rsidRPr="00C627DF">
        <w:rPr>
          <w:b/>
          <w:u w:val="single"/>
          <w:lang w:val="fr-CA"/>
        </w:rPr>
        <w:t>Figure </w:t>
      </w:r>
      <w:r w:rsidRPr="00AA4C47">
        <w:rPr>
          <w:b/>
          <w:u w:val="single"/>
        </w:rPr>
        <w:fldChar w:fldCharType="begin"/>
      </w:r>
      <w:r w:rsidRPr="00C627DF">
        <w:rPr>
          <w:b/>
          <w:u w:val="single"/>
          <w:lang w:val="fr-CA"/>
        </w:rPr>
        <w:instrText xml:space="preserve"> SEQ Figure \* ARABIC </w:instrText>
      </w:r>
      <w:r w:rsidRPr="00AA4C47">
        <w:rPr>
          <w:b/>
          <w:u w:val="single"/>
        </w:rPr>
        <w:fldChar w:fldCharType="separate"/>
      </w:r>
      <w:r w:rsidRPr="00C627DF">
        <w:rPr>
          <w:b/>
          <w:noProof/>
          <w:u w:val="single"/>
          <w:lang w:val="fr-CA"/>
        </w:rPr>
        <w:t>1</w:t>
      </w:r>
      <w:r w:rsidRPr="00AA4C47">
        <w:rPr>
          <w:b/>
          <w:noProof/>
          <w:u w:val="single"/>
        </w:rPr>
        <w:fldChar w:fldCharType="end"/>
      </w:r>
      <w:r w:rsidRPr="00C627DF">
        <w:rPr>
          <w:b/>
          <w:u w:val="single"/>
          <w:lang w:val="fr-CA"/>
        </w:rPr>
        <w:t xml:space="preserve"> – Tableau de l’évaluation initiale</w:t>
      </w:r>
      <w:bookmarkEnd w:id="3"/>
      <w:r w:rsidRPr="00C627DF">
        <w:rPr>
          <w:b/>
          <w:u w:val="single"/>
          <w:lang w:val="fr-CA"/>
        </w:rPr>
        <w:t xml:space="preserve"> de 2018</w:t>
      </w:r>
    </w:p>
    <w:tbl>
      <w:tblPr>
        <w:tblW w:w="9067" w:type="dxa"/>
        <w:tblInd w:w="-15" w:type="dxa"/>
        <w:tblLayout w:type="fixed"/>
        <w:tblLook w:val="04A0" w:firstRow="1" w:lastRow="0" w:firstColumn="1" w:lastColumn="0" w:noHBand="0" w:noVBand="1"/>
      </w:tblPr>
      <w:tblGrid>
        <w:gridCol w:w="2127"/>
        <w:gridCol w:w="573"/>
        <w:gridCol w:w="940"/>
        <w:gridCol w:w="266"/>
        <w:gridCol w:w="2756"/>
        <w:gridCol w:w="491"/>
        <w:gridCol w:w="532"/>
        <w:gridCol w:w="491"/>
        <w:gridCol w:w="470"/>
        <w:gridCol w:w="421"/>
      </w:tblGrid>
      <w:tr w:rsidR="00C627DF" w:rsidRPr="00B33A51" w:rsidTr="009F411B">
        <w:trPr>
          <w:trHeight w:val="142"/>
        </w:trPr>
        <w:tc>
          <w:tcPr>
            <w:tcW w:w="6662" w:type="dxa"/>
            <w:gridSpan w:val="5"/>
            <w:tcBorders>
              <w:top w:val="single" w:sz="12" w:space="0" w:color="auto"/>
              <w:left w:val="single" w:sz="12" w:space="0" w:color="auto"/>
              <w:bottom w:val="single" w:sz="4" w:space="0" w:color="auto"/>
              <w:right w:val="single" w:sz="4" w:space="0" w:color="auto"/>
            </w:tcBorders>
            <w:shd w:val="clear" w:color="000000" w:fill="366092"/>
            <w:noWrap/>
            <w:vAlign w:val="bottom"/>
          </w:tcPr>
          <w:p w:rsidR="00C627DF" w:rsidRPr="00C372BD" w:rsidRDefault="00C627DF" w:rsidP="009F411B">
            <w:pPr>
              <w:spacing w:after="0"/>
              <w:rPr>
                <w:rFonts w:ascii="Calibri" w:hAnsi="Calibri" w:cs="Times New Roman"/>
                <w:b/>
                <w:bCs/>
                <w:color w:val="FFFFFF"/>
                <w:lang w:eastAsia="en-GB"/>
              </w:rPr>
            </w:pPr>
            <w:bookmarkStart w:id="4" w:name="_Hlk523477864"/>
            <w:proofErr w:type="spellStart"/>
            <w:r w:rsidRPr="00C372BD">
              <w:rPr>
                <w:rFonts w:ascii="Calibri" w:hAnsi="Calibri" w:cs="Times New Roman"/>
                <w:b/>
                <w:bCs/>
                <w:color w:val="FFFFFF"/>
                <w:lang w:eastAsia="en-GB"/>
              </w:rPr>
              <w:t>E</w:t>
            </w:r>
            <w:r>
              <w:rPr>
                <w:rFonts w:ascii="Calibri" w:hAnsi="Calibri" w:cs="Times New Roman"/>
                <w:b/>
                <w:bCs/>
                <w:color w:val="FFFFFF"/>
                <w:lang w:eastAsia="en-GB"/>
              </w:rPr>
              <w:t>xigences</w:t>
            </w:r>
            <w:proofErr w:type="spellEnd"/>
            <w:r>
              <w:rPr>
                <w:rFonts w:ascii="Calibri" w:hAnsi="Calibri" w:cs="Times New Roman"/>
                <w:b/>
                <w:bCs/>
                <w:color w:val="FFFFFF"/>
                <w:lang w:eastAsia="en-GB"/>
              </w:rPr>
              <w:t xml:space="preserve"> ITIE</w:t>
            </w:r>
          </w:p>
        </w:tc>
        <w:tc>
          <w:tcPr>
            <w:tcW w:w="2405" w:type="dxa"/>
            <w:gridSpan w:val="5"/>
            <w:tcBorders>
              <w:top w:val="single" w:sz="12" w:space="0" w:color="auto"/>
              <w:left w:val="single" w:sz="4" w:space="0" w:color="auto"/>
              <w:bottom w:val="single" w:sz="4" w:space="0" w:color="auto"/>
              <w:right w:val="single" w:sz="12" w:space="0" w:color="auto"/>
            </w:tcBorders>
            <w:shd w:val="clear" w:color="000000" w:fill="366092"/>
            <w:vAlign w:val="center"/>
          </w:tcPr>
          <w:p w:rsidR="00C627DF" w:rsidRPr="00C372BD" w:rsidRDefault="00C627DF" w:rsidP="009F411B">
            <w:pPr>
              <w:spacing w:after="0"/>
              <w:jc w:val="center"/>
              <w:rPr>
                <w:rFonts w:ascii="Calibri" w:hAnsi="Calibri" w:cs="Times New Roman"/>
                <w:b/>
                <w:bCs/>
                <w:color w:val="FFFFFF"/>
                <w:lang w:eastAsia="en-GB"/>
              </w:rPr>
            </w:pPr>
            <w:r>
              <w:rPr>
                <w:rFonts w:ascii="Calibri" w:hAnsi="Calibri" w:cs="Times New Roman"/>
                <w:b/>
                <w:bCs/>
                <w:color w:val="FFFFFF"/>
                <w:lang w:eastAsia="en-GB"/>
              </w:rPr>
              <w:t>NIVEAU DE PROGRÈS</w:t>
            </w:r>
          </w:p>
        </w:tc>
      </w:tr>
      <w:tr w:rsidR="00C627DF" w:rsidRPr="00B33A51" w:rsidTr="009F411B">
        <w:trPr>
          <w:trHeight w:val="1637"/>
        </w:trPr>
        <w:tc>
          <w:tcPr>
            <w:tcW w:w="2700" w:type="dxa"/>
            <w:gridSpan w:val="2"/>
            <w:tcBorders>
              <w:top w:val="single" w:sz="4" w:space="0" w:color="auto"/>
              <w:left w:val="single" w:sz="12" w:space="0" w:color="auto"/>
              <w:bottom w:val="nil"/>
              <w:right w:val="nil"/>
            </w:tcBorders>
            <w:shd w:val="clear" w:color="000000" w:fill="F2F2F2"/>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940" w:type="dxa"/>
            <w:tcBorders>
              <w:top w:val="single" w:sz="4" w:space="0" w:color="auto"/>
              <w:left w:val="nil"/>
              <w:bottom w:val="nil"/>
              <w:right w:val="nil"/>
            </w:tcBorders>
            <w:shd w:val="clear" w:color="000000" w:fill="F2F2F2"/>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266" w:type="dxa"/>
            <w:tcBorders>
              <w:top w:val="single" w:sz="4" w:space="0" w:color="auto"/>
              <w:left w:val="nil"/>
              <w:bottom w:val="nil"/>
              <w:right w:val="nil"/>
            </w:tcBorders>
            <w:shd w:val="clear" w:color="000000" w:fill="F2F2F2"/>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2756" w:type="dxa"/>
            <w:tcBorders>
              <w:top w:val="single" w:sz="4" w:space="0" w:color="auto"/>
              <w:left w:val="nil"/>
              <w:bottom w:val="nil"/>
              <w:right w:val="single" w:sz="8" w:space="0" w:color="auto"/>
            </w:tcBorders>
            <w:shd w:val="clear" w:color="000000" w:fill="F2F2F2"/>
            <w:noWrap/>
            <w:vAlign w:val="center"/>
            <w:hideMark/>
          </w:tcPr>
          <w:p w:rsidR="00C627DF" w:rsidRPr="00B33A51" w:rsidRDefault="00C627DF" w:rsidP="009F411B">
            <w:pPr>
              <w:spacing w:after="0"/>
              <w:rPr>
                <w:rFonts w:ascii="Calibri" w:hAnsi="Calibri" w:cs="Times New Roman"/>
                <w:b/>
                <w:bCs/>
                <w:color w:val="FFFFFF"/>
                <w:lang w:eastAsia="en-GB"/>
              </w:rPr>
            </w:pPr>
            <w:r w:rsidRPr="00B33A51">
              <w:rPr>
                <w:rFonts w:ascii="Calibri" w:hAnsi="Calibri" w:cs="Times New Roman"/>
                <w:b/>
                <w:bCs/>
                <w:color w:val="FFFFFF"/>
                <w:lang w:eastAsia="en-GB"/>
              </w:rPr>
              <w:t> </w:t>
            </w:r>
          </w:p>
        </w:tc>
        <w:tc>
          <w:tcPr>
            <w:tcW w:w="491" w:type="dxa"/>
            <w:tcBorders>
              <w:top w:val="single" w:sz="4" w:space="0" w:color="auto"/>
              <w:left w:val="single" w:sz="4" w:space="0" w:color="000000" w:themeColor="text1"/>
              <w:right w:val="single" w:sz="12" w:space="0" w:color="auto"/>
            </w:tcBorders>
            <w:shd w:val="clear" w:color="000000" w:fill="F2F2F2"/>
            <w:textDirection w:val="btLr"/>
          </w:tcPr>
          <w:p w:rsidR="00C627DF" w:rsidRPr="00B33A51" w:rsidRDefault="00C627DF" w:rsidP="009F411B">
            <w:pPr>
              <w:spacing w:after="0"/>
              <w:rPr>
                <w:rFonts w:ascii="Calibri" w:hAnsi="Calibri" w:cs="Times New Roman"/>
                <w:bCs/>
                <w:color w:val="000000"/>
                <w:lang w:eastAsia="en-GB"/>
              </w:rPr>
            </w:pPr>
            <w:r w:rsidRPr="00B33A51">
              <w:rPr>
                <w:rFonts w:ascii="Calibri" w:hAnsi="Calibri" w:cs="Times New Roman"/>
                <w:bCs/>
                <w:color w:val="000000"/>
                <w:lang w:eastAsia="en-GB"/>
              </w:rPr>
              <w:t xml:space="preserve">  </w:t>
            </w:r>
            <w:proofErr w:type="spellStart"/>
            <w:r>
              <w:rPr>
                <w:rFonts w:ascii="Calibri" w:hAnsi="Calibri" w:cs="Times New Roman"/>
                <w:bCs/>
                <w:color w:val="000000"/>
                <w:lang w:eastAsia="en-GB"/>
              </w:rPr>
              <w:t>Aucun</w:t>
            </w:r>
            <w:proofErr w:type="spellEnd"/>
            <w:r>
              <w:rPr>
                <w:rFonts w:ascii="Calibri" w:hAnsi="Calibri" w:cs="Times New Roman"/>
                <w:bCs/>
                <w:color w:val="000000"/>
                <w:lang w:eastAsia="en-GB"/>
              </w:rPr>
              <w:t xml:space="preserve"> </w:t>
            </w:r>
            <w:proofErr w:type="spellStart"/>
            <w:r>
              <w:rPr>
                <w:rFonts w:ascii="Calibri" w:hAnsi="Calibri" w:cs="Times New Roman"/>
                <w:bCs/>
                <w:color w:val="000000"/>
                <w:lang w:eastAsia="en-GB"/>
              </w:rPr>
              <w:t>progrès</w:t>
            </w:r>
            <w:proofErr w:type="spellEnd"/>
          </w:p>
        </w:tc>
        <w:tc>
          <w:tcPr>
            <w:tcW w:w="532" w:type="dxa"/>
            <w:tcBorders>
              <w:top w:val="single" w:sz="4" w:space="0" w:color="auto"/>
              <w:left w:val="single" w:sz="4" w:space="0" w:color="000000" w:themeColor="text1"/>
              <w:right w:val="single" w:sz="12" w:space="0" w:color="auto"/>
            </w:tcBorders>
            <w:shd w:val="clear" w:color="000000" w:fill="F2F2F2"/>
            <w:textDirection w:val="btLr"/>
          </w:tcPr>
          <w:p w:rsidR="00C627DF" w:rsidRPr="00B33A51" w:rsidRDefault="00C627DF" w:rsidP="009F411B">
            <w:pPr>
              <w:spacing w:after="0"/>
              <w:rPr>
                <w:rFonts w:ascii="Calibri" w:hAnsi="Calibri" w:cs="Times New Roman"/>
                <w:bCs/>
                <w:color w:val="000000"/>
                <w:lang w:eastAsia="en-GB"/>
              </w:rPr>
            </w:pPr>
            <w:r w:rsidRPr="00B33A51">
              <w:rPr>
                <w:rFonts w:ascii="Calibri" w:hAnsi="Calibri" w:cs="Times New Roman"/>
                <w:bCs/>
                <w:color w:val="000000"/>
                <w:lang w:eastAsia="en-GB"/>
              </w:rPr>
              <w:t xml:space="preserve"> </w:t>
            </w:r>
            <w:proofErr w:type="spellStart"/>
            <w:r>
              <w:rPr>
                <w:rFonts w:ascii="Calibri" w:hAnsi="Calibri" w:cs="Times New Roman"/>
                <w:bCs/>
                <w:color w:val="000000"/>
                <w:lang w:eastAsia="en-GB"/>
              </w:rPr>
              <w:t>Inadéquats</w:t>
            </w:r>
            <w:proofErr w:type="spellEnd"/>
          </w:p>
        </w:tc>
        <w:tc>
          <w:tcPr>
            <w:tcW w:w="491" w:type="dxa"/>
            <w:tcBorders>
              <w:top w:val="single" w:sz="4" w:space="0" w:color="auto"/>
              <w:left w:val="single" w:sz="4" w:space="0" w:color="000000" w:themeColor="text1"/>
              <w:right w:val="single" w:sz="12" w:space="0" w:color="auto"/>
            </w:tcBorders>
            <w:shd w:val="clear" w:color="000000" w:fill="F2F2F2"/>
            <w:textDirection w:val="btLr"/>
          </w:tcPr>
          <w:p w:rsidR="00C627DF" w:rsidRPr="00B33A51" w:rsidRDefault="00C627DF" w:rsidP="009F411B">
            <w:pPr>
              <w:spacing w:after="0"/>
              <w:rPr>
                <w:rFonts w:ascii="Calibri" w:hAnsi="Calibri" w:cs="Times New Roman"/>
                <w:bCs/>
                <w:color w:val="000000"/>
                <w:lang w:eastAsia="en-GB"/>
              </w:rPr>
            </w:pPr>
            <w:r w:rsidRPr="00B33A51">
              <w:rPr>
                <w:rFonts w:ascii="Calibri" w:hAnsi="Calibri" w:cs="Times New Roman"/>
                <w:bCs/>
                <w:color w:val="000000"/>
                <w:lang w:eastAsia="en-GB"/>
              </w:rPr>
              <w:t xml:space="preserve"> </w:t>
            </w:r>
            <w:proofErr w:type="spellStart"/>
            <w:r>
              <w:rPr>
                <w:rFonts w:ascii="Calibri" w:hAnsi="Calibri" w:cs="Times New Roman"/>
                <w:bCs/>
                <w:color w:val="000000"/>
                <w:lang w:eastAsia="en-GB"/>
              </w:rPr>
              <w:t>Significatifs</w:t>
            </w:r>
            <w:proofErr w:type="spellEnd"/>
          </w:p>
        </w:tc>
        <w:tc>
          <w:tcPr>
            <w:tcW w:w="470" w:type="dxa"/>
            <w:tcBorders>
              <w:top w:val="single" w:sz="4" w:space="0" w:color="auto"/>
              <w:left w:val="single" w:sz="4" w:space="0" w:color="000000" w:themeColor="text1"/>
              <w:right w:val="single" w:sz="12" w:space="0" w:color="auto"/>
            </w:tcBorders>
            <w:shd w:val="clear" w:color="000000" w:fill="F2F2F2"/>
            <w:textDirection w:val="btLr"/>
          </w:tcPr>
          <w:p w:rsidR="00C627DF" w:rsidRPr="00B33A51" w:rsidRDefault="00C627DF" w:rsidP="009F411B">
            <w:pPr>
              <w:spacing w:after="0"/>
              <w:rPr>
                <w:rFonts w:ascii="Calibri" w:hAnsi="Calibri" w:cs="Times New Roman"/>
                <w:bCs/>
                <w:color w:val="000000"/>
                <w:lang w:eastAsia="en-GB"/>
              </w:rPr>
            </w:pPr>
            <w:r w:rsidRPr="00B33A51">
              <w:rPr>
                <w:rFonts w:ascii="Calibri" w:hAnsi="Calibri" w:cs="Times New Roman"/>
                <w:bCs/>
                <w:color w:val="000000"/>
                <w:lang w:eastAsia="en-GB"/>
              </w:rPr>
              <w:t xml:space="preserve">  </w:t>
            </w:r>
            <w:proofErr w:type="spellStart"/>
            <w:r w:rsidRPr="00B33A51">
              <w:rPr>
                <w:rFonts w:ascii="Calibri" w:hAnsi="Calibri" w:cs="Times New Roman"/>
                <w:bCs/>
                <w:color w:val="000000"/>
                <w:lang w:eastAsia="en-GB"/>
              </w:rPr>
              <w:t>Sa</w:t>
            </w:r>
            <w:r>
              <w:rPr>
                <w:rFonts w:ascii="Calibri" w:hAnsi="Calibri" w:cs="Times New Roman"/>
                <w:bCs/>
                <w:color w:val="000000"/>
                <w:lang w:eastAsia="en-GB"/>
              </w:rPr>
              <w:t>tisfaisants</w:t>
            </w:r>
            <w:proofErr w:type="spellEnd"/>
          </w:p>
        </w:tc>
        <w:tc>
          <w:tcPr>
            <w:tcW w:w="421" w:type="dxa"/>
            <w:tcBorders>
              <w:top w:val="single" w:sz="4" w:space="0" w:color="auto"/>
              <w:left w:val="single" w:sz="4" w:space="0" w:color="000000" w:themeColor="text1"/>
              <w:right w:val="single" w:sz="12" w:space="0" w:color="auto"/>
            </w:tcBorders>
            <w:shd w:val="clear" w:color="000000" w:fill="F2F2F2"/>
            <w:textDirection w:val="btLr"/>
            <w:vAlign w:val="center"/>
          </w:tcPr>
          <w:p w:rsidR="00C627DF" w:rsidRPr="00B33A51" w:rsidRDefault="00C627DF" w:rsidP="009F411B">
            <w:pPr>
              <w:spacing w:after="0"/>
              <w:rPr>
                <w:rFonts w:ascii="Calibri" w:hAnsi="Calibri" w:cs="Times New Roman"/>
                <w:bCs/>
                <w:color w:val="000000"/>
                <w:lang w:eastAsia="en-GB"/>
              </w:rPr>
            </w:pPr>
            <w:r w:rsidRPr="00B33A51">
              <w:rPr>
                <w:rFonts w:ascii="Calibri" w:hAnsi="Calibri" w:cs="Times New Roman"/>
                <w:bCs/>
                <w:color w:val="000000"/>
                <w:lang w:eastAsia="en-GB"/>
              </w:rPr>
              <w:t xml:space="preserve"> </w:t>
            </w:r>
            <w:r>
              <w:rPr>
                <w:rFonts w:ascii="Calibri" w:hAnsi="Calibri" w:cs="Times New Roman"/>
                <w:bCs/>
                <w:color w:val="000000"/>
                <w:lang w:eastAsia="en-GB"/>
              </w:rPr>
              <w:t>Au-</w:t>
            </w:r>
            <w:proofErr w:type="spellStart"/>
            <w:r>
              <w:rPr>
                <w:rFonts w:ascii="Calibri" w:hAnsi="Calibri" w:cs="Times New Roman"/>
                <w:bCs/>
                <w:color w:val="000000"/>
                <w:lang w:eastAsia="en-GB"/>
              </w:rPr>
              <w:t>delà</w:t>
            </w:r>
            <w:proofErr w:type="spellEnd"/>
          </w:p>
        </w:tc>
      </w:tr>
      <w:tr w:rsidR="00C627DF" w:rsidRPr="00B33A51" w:rsidTr="009F411B">
        <w:trPr>
          <w:trHeight w:val="306"/>
        </w:trPr>
        <w:tc>
          <w:tcPr>
            <w:tcW w:w="2127" w:type="dxa"/>
            <w:tcBorders>
              <w:left w:val="single" w:sz="12" w:space="0" w:color="auto"/>
              <w:bottom w:val="single" w:sz="12" w:space="0" w:color="000000" w:themeColor="text1"/>
            </w:tcBorders>
            <w:shd w:val="clear" w:color="000000" w:fill="F2F2F2"/>
            <w:noWrap/>
            <w:vAlign w:val="bottom"/>
            <w:hideMark/>
          </w:tcPr>
          <w:p w:rsidR="00C627DF" w:rsidRPr="00B33A51" w:rsidRDefault="00C627DF" w:rsidP="009F411B">
            <w:pPr>
              <w:spacing w:after="0"/>
              <w:rPr>
                <w:rFonts w:ascii="Calibri" w:hAnsi="Calibri" w:cs="Times New Roman"/>
                <w:b/>
                <w:bCs/>
                <w:color w:val="000000"/>
                <w:lang w:eastAsia="en-GB"/>
              </w:rPr>
            </w:pPr>
            <w:proofErr w:type="spellStart"/>
            <w:r w:rsidRPr="00B33A51">
              <w:rPr>
                <w:rFonts w:ascii="Calibri" w:hAnsi="Calibri" w:cs="Times New Roman"/>
                <w:b/>
                <w:bCs/>
                <w:color w:val="000000"/>
                <w:lang w:eastAsia="en-GB"/>
              </w:rPr>
              <w:t>Cat</w:t>
            </w:r>
            <w:r>
              <w:rPr>
                <w:rFonts w:ascii="Calibri" w:hAnsi="Calibri" w:cs="Times New Roman"/>
                <w:b/>
                <w:bCs/>
                <w:color w:val="000000"/>
                <w:lang w:eastAsia="en-GB"/>
              </w:rPr>
              <w:t>é</w:t>
            </w:r>
            <w:r w:rsidRPr="00B33A51">
              <w:rPr>
                <w:rFonts w:ascii="Calibri" w:hAnsi="Calibri" w:cs="Times New Roman"/>
                <w:b/>
                <w:bCs/>
                <w:color w:val="000000"/>
                <w:lang w:eastAsia="en-GB"/>
              </w:rPr>
              <w:t>gories</w:t>
            </w:r>
            <w:proofErr w:type="spellEnd"/>
          </w:p>
        </w:tc>
        <w:tc>
          <w:tcPr>
            <w:tcW w:w="4535" w:type="dxa"/>
            <w:gridSpan w:val="4"/>
            <w:tcBorders>
              <w:bottom w:val="single" w:sz="12" w:space="0" w:color="000000" w:themeColor="text1"/>
              <w:right w:val="single" w:sz="8" w:space="0" w:color="auto"/>
            </w:tcBorders>
            <w:shd w:val="clear" w:color="000000" w:fill="F2F2F2"/>
            <w:noWrap/>
            <w:vAlign w:val="center"/>
            <w:hideMark/>
          </w:tcPr>
          <w:p w:rsidR="00C627DF" w:rsidRPr="00B33A51" w:rsidRDefault="00C627DF" w:rsidP="009F411B">
            <w:pPr>
              <w:spacing w:after="0"/>
              <w:rPr>
                <w:rFonts w:ascii="Calibri" w:hAnsi="Calibri" w:cs="Times New Roman"/>
                <w:b/>
                <w:bCs/>
                <w:color w:val="000000"/>
                <w:lang w:eastAsia="en-GB"/>
              </w:rPr>
            </w:pPr>
            <w:proofErr w:type="spellStart"/>
            <w:r>
              <w:rPr>
                <w:rFonts w:ascii="Calibri" w:hAnsi="Calibri" w:cs="Times New Roman"/>
                <w:b/>
                <w:bCs/>
                <w:color w:val="000000"/>
                <w:lang w:eastAsia="en-GB"/>
              </w:rPr>
              <w:t>Exigences</w:t>
            </w:r>
            <w:proofErr w:type="spellEnd"/>
          </w:p>
        </w:tc>
        <w:tc>
          <w:tcPr>
            <w:tcW w:w="491" w:type="dxa"/>
            <w:tcBorders>
              <w:left w:val="single" w:sz="4" w:space="0" w:color="000000" w:themeColor="text1"/>
              <w:bottom w:val="single" w:sz="12" w:space="0" w:color="auto"/>
              <w:right w:val="single" w:sz="12" w:space="0" w:color="auto"/>
            </w:tcBorders>
            <w:shd w:val="clear" w:color="000000" w:fill="C00000"/>
          </w:tcPr>
          <w:p w:rsidR="00C627DF" w:rsidRPr="00B33A51" w:rsidRDefault="00C627DF" w:rsidP="009F411B">
            <w:pPr>
              <w:spacing w:after="0"/>
              <w:rPr>
                <w:rFonts w:ascii="Calibri" w:hAnsi="Calibri" w:cs="Times New Roman"/>
                <w:b/>
                <w:bCs/>
                <w:color w:val="C00000"/>
                <w:lang w:eastAsia="en-GB"/>
              </w:rPr>
            </w:pPr>
          </w:p>
        </w:tc>
        <w:tc>
          <w:tcPr>
            <w:tcW w:w="532" w:type="dxa"/>
            <w:tcBorders>
              <w:left w:val="single" w:sz="4" w:space="0" w:color="000000" w:themeColor="text1"/>
              <w:bottom w:val="single" w:sz="12" w:space="0" w:color="auto"/>
              <w:right w:val="single" w:sz="12" w:space="0" w:color="auto"/>
            </w:tcBorders>
            <w:shd w:val="clear" w:color="auto" w:fill="FAC433"/>
          </w:tcPr>
          <w:p w:rsidR="00C627DF" w:rsidRPr="00B33A51" w:rsidRDefault="00C627DF" w:rsidP="009F411B">
            <w:pPr>
              <w:spacing w:after="0"/>
              <w:rPr>
                <w:rFonts w:ascii="Calibri" w:hAnsi="Calibri" w:cs="Times New Roman"/>
                <w:b/>
                <w:bCs/>
                <w:color w:val="C00000"/>
                <w:lang w:eastAsia="en-GB"/>
              </w:rPr>
            </w:pPr>
          </w:p>
        </w:tc>
        <w:tc>
          <w:tcPr>
            <w:tcW w:w="491" w:type="dxa"/>
            <w:tcBorders>
              <w:left w:val="single" w:sz="4" w:space="0" w:color="000000" w:themeColor="text1"/>
              <w:bottom w:val="single" w:sz="12" w:space="0" w:color="auto"/>
              <w:right w:val="single" w:sz="12" w:space="0" w:color="auto"/>
            </w:tcBorders>
            <w:shd w:val="clear" w:color="auto" w:fill="84AE44"/>
            <w:vAlign w:val="bottom"/>
          </w:tcPr>
          <w:p w:rsidR="00C627DF" w:rsidRPr="00B33A51" w:rsidRDefault="00C627DF" w:rsidP="009F411B">
            <w:pPr>
              <w:spacing w:after="0"/>
              <w:rPr>
                <w:rFonts w:ascii="Calibri" w:hAnsi="Calibri" w:cs="Times New Roman"/>
                <w:b/>
                <w:bCs/>
                <w:color w:val="000000"/>
                <w:lang w:eastAsia="en-GB"/>
              </w:rPr>
            </w:pPr>
            <w:r w:rsidRPr="00B33A51">
              <w:rPr>
                <w:rFonts w:ascii="Calibri" w:hAnsi="Calibri" w:cs="Times New Roman"/>
                <w:color w:val="000000"/>
                <w:lang w:eastAsia="en-GB"/>
              </w:rPr>
              <w:t> </w:t>
            </w:r>
          </w:p>
        </w:tc>
        <w:tc>
          <w:tcPr>
            <w:tcW w:w="470" w:type="dxa"/>
            <w:tcBorders>
              <w:left w:val="single" w:sz="4" w:space="0" w:color="000000" w:themeColor="text1"/>
              <w:bottom w:val="single" w:sz="12" w:space="0" w:color="auto"/>
              <w:right w:val="single" w:sz="12" w:space="0" w:color="auto"/>
            </w:tcBorders>
            <w:shd w:val="clear" w:color="auto" w:fill="2D8B2A"/>
            <w:vAlign w:val="bottom"/>
          </w:tcPr>
          <w:p w:rsidR="00C627DF" w:rsidRPr="00B33A51" w:rsidRDefault="00C627DF" w:rsidP="009F411B">
            <w:pPr>
              <w:spacing w:after="0"/>
              <w:rPr>
                <w:rFonts w:ascii="Calibri" w:hAnsi="Calibri" w:cs="Times New Roman"/>
                <w:b/>
                <w:bCs/>
                <w:color w:val="000000"/>
                <w:lang w:eastAsia="en-GB"/>
              </w:rPr>
            </w:pPr>
            <w:r w:rsidRPr="00B33A51">
              <w:rPr>
                <w:rFonts w:ascii="Calibri" w:hAnsi="Calibri" w:cs="Times New Roman"/>
                <w:color w:val="000000"/>
                <w:lang w:eastAsia="en-GB"/>
              </w:rPr>
              <w:t> </w:t>
            </w:r>
          </w:p>
        </w:tc>
        <w:tc>
          <w:tcPr>
            <w:tcW w:w="421" w:type="dxa"/>
            <w:tcBorders>
              <w:left w:val="single" w:sz="4" w:space="0" w:color="000000" w:themeColor="text1"/>
              <w:bottom w:val="single" w:sz="12" w:space="0" w:color="auto"/>
              <w:right w:val="single" w:sz="12" w:space="0" w:color="auto"/>
            </w:tcBorders>
            <w:shd w:val="clear" w:color="auto" w:fill="0076AF"/>
            <w:vAlign w:val="center"/>
          </w:tcPr>
          <w:p w:rsidR="00C627DF" w:rsidRPr="00B33A51" w:rsidRDefault="00C627DF" w:rsidP="009F411B">
            <w:pPr>
              <w:spacing w:after="0"/>
              <w:rPr>
                <w:rFonts w:ascii="Calibri" w:hAnsi="Calibri" w:cs="Times New Roman"/>
                <w:b/>
                <w:bCs/>
                <w:color w:val="000000"/>
                <w:lang w:eastAsia="en-GB"/>
              </w:rPr>
            </w:pPr>
            <w:r w:rsidRPr="00B33A51">
              <w:rPr>
                <w:rFonts w:ascii="Calibri" w:hAnsi="Calibri" w:cs="Times New Roman"/>
                <w:color w:val="000000"/>
                <w:lang w:eastAsia="en-GB"/>
              </w:rPr>
              <w:t> </w:t>
            </w:r>
          </w:p>
        </w:tc>
      </w:tr>
      <w:tr w:rsidR="00C627DF" w:rsidRPr="00B33A51" w:rsidTr="009F411B">
        <w:trPr>
          <w:trHeight w:val="53"/>
        </w:trPr>
        <w:tc>
          <w:tcPr>
            <w:tcW w:w="2127" w:type="dxa"/>
            <w:vMerge w:val="restart"/>
            <w:tcBorders>
              <w:top w:val="single" w:sz="12" w:space="0" w:color="000000" w:themeColor="text1"/>
              <w:left w:val="single" w:sz="12" w:space="0" w:color="auto"/>
              <w:bottom w:val="single" w:sz="8" w:space="0" w:color="000000"/>
              <w:right w:val="single" w:sz="2" w:space="0" w:color="A6A6A6" w:themeColor="background1" w:themeShade="A6"/>
            </w:tcBorders>
            <w:shd w:val="clear" w:color="000000" w:fill="BFBFBF"/>
            <w:noWrap/>
            <w:vAlign w:val="center"/>
            <w:hideMark/>
          </w:tcPr>
          <w:p w:rsidR="00C627DF" w:rsidRPr="00C627DF" w:rsidRDefault="00C627DF" w:rsidP="009F411B">
            <w:pPr>
              <w:spacing w:after="0"/>
              <w:rPr>
                <w:rFonts w:ascii="Calibri" w:hAnsi="Calibri" w:cs="Times New Roman"/>
                <w:b/>
                <w:bCs/>
                <w:color w:val="000000"/>
                <w:lang w:val="fr-CA" w:eastAsia="en-GB"/>
              </w:rPr>
            </w:pPr>
            <w:r w:rsidRPr="00C627DF">
              <w:rPr>
                <w:rFonts w:ascii="Calibri" w:hAnsi="Calibri" w:cs="Times New Roman"/>
                <w:b/>
                <w:bCs/>
                <w:color w:val="000000"/>
                <w:lang w:val="fr-CA" w:eastAsia="en-GB"/>
              </w:rPr>
              <w:t>Supervision exercée par le Groupe multipartite</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rsidR="00C627DF" w:rsidRPr="00B33A51" w:rsidRDefault="00C627DF" w:rsidP="009F411B">
            <w:pPr>
              <w:spacing w:after="0"/>
              <w:rPr>
                <w:rFonts w:ascii="Calibri" w:hAnsi="Calibri" w:cs="Times New Roman"/>
                <w:color w:val="000000"/>
                <w:lang w:eastAsia="en-GB"/>
              </w:rPr>
            </w:pPr>
            <w:r>
              <w:rPr>
                <w:rFonts w:ascii="Calibri" w:hAnsi="Calibri" w:cs="Times New Roman"/>
                <w:color w:val="000000"/>
                <w:lang w:eastAsia="en-GB"/>
              </w:rPr>
              <w:t xml:space="preserve">Engagement du </w:t>
            </w:r>
            <w:proofErr w:type="spellStart"/>
            <w:r>
              <w:rPr>
                <w:rFonts w:ascii="Calibri" w:hAnsi="Calibri" w:cs="Times New Roman"/>
                <w:color w:val="000000"/>
                <w:lang w:eastAsia="en-GB"/>
              </w:rPr>
              <w:t>gouvernement</w:t>
            </w:r>
            <w:proofErr w:type="spellEnd"/>
            <w:r w:rsidRPr="00B33A51">
              <w:rPr>
                <w:rFonts w:ascii="Calibri" w:hAnsi="Calibri" w:cs="Times New Roman"/>
                <w:color w:val="000000"/>
                <w:lang w:eastAsia="en-GB"/>
              </w:rPr>
              <w:t xml:space="preserve"> (#1.1)</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C627DF" w:rsidRPr="00B33A51" w:rsidRDefault="00C627DF" w:rsidP="009F411B">
            <w:pPr>
              <w:spacing w:after="0"/>
              <w:rPr>
                <w:rFonts w:ascii="Calibri" w:hAnsi="Calibri" w:cs="Times New Roman"/>
                <w:color w:val="000000"/>
                <w:lang w:eastAsia="en-GB"/>
              </w:rPr>
            </w:pPr>
          </w:p>
        </w:tc>
        <w:tc>
          <w:tcPr>
            <w:tcW w:w="532"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12" w:space="0" w:color="auto"/>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281"/>
        </w:trPr>
        <w:tc>
          <w:tcPr>
            <w:tcW w:w="2127" w:type="dxa"/>
            <w:vMerge/>
            <w:tcBorders>
              <w:top w:val="single" w:sz="8" w:space="0" w:color="auto"/>
              <w:left w:val="single" w:sz="12" w:space="0" w:color="auto"/>
              <w:bottom w:val="single" w:sz="8" w:space="0" w:color="000000"/>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rsidR="00C627DF" w:rsidRPr="00B33A51" w:rsidRDefault="00C627DF" w:rsidP="009F411B">
            <w:pPr>
              <w:spacing w:after="0"/>
              <w:rPr>
                <w:rFonts w:ascii="Calibri" w:hAnsi="Calibri" w:cs="Times New Roman"/>
                <w:color w:val="000000"/>
                <w:lang w:eastAsia="en-GB"/>
              </w:rPr>
            </w:pPr>
            <w:r>
              <w:rPr>
                <w:rFonts w:ascii="Calibri" w:hAnsi="Calibri" w:cs="Times New Roman"/>
                <w:color w:val="000000"/>
                <w:lang w:eastAsia="en-GB"/>
              </w:rPr>
              <w:t xml:space="preserve">Engagement de </w:t>
            </w:r>
            <w:proofErr w:type="spellStart"/>
            <w:r>
              <w:rPr>
                <w:rFonts w:ascii="Calibri" w:hAnsi="Calibri" w:cs="Times New Roman"/>
                <w:color w:val="000000"/>
                <w:lang w:eastAsia="en-GB"/>
              </w:rPr>
              <w:t>l’industrie</w:t>
            </w:r>
            <w:proofErr w:type="spellEnd"/>
            <w:r>
              <w:rPr>
                <w:rFonts w:ascii="Calibri" w:hAnsi="Calibri" w:cs="Times New Roman"/>
                <w:color w:val="000000"/>
                <w:lang w:eastAsia="en-GB"/>
              </w:rPr>
              <w:t xml:space="preserve"> </w:t>
            </w:r>
            <w:r w:rsidRPr="00B33A51">
              <w:rPr>
                <w:rFonts w:ascii="Calibri" w:hAnsi="Calibri" w:cs="Times New Roman"/>
                <w:color w:val="000000"/>
                <w:lang w:eastAsia="en-GB"/>
              </w:rPr>
              <w:t>(#1.2)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3B03A5" w:rsidTr="009F411B">
        <w:trPr>
          <w:trHeight w:val="53"/>
        </w:trPr>
        <w:tc>
          <w:tcPr>
            <w:tcW w:w="2127" w:type="dxa"/>
            <w:vMerge/>
            <w:tcBorders>
              <w:top w:val="single" w:sz="8" w:space="0" w:color="auto"/>
              <w:left w:val="single" w:sz="12" w:space="0" w:color="auto"/>
              <w:bottom w:val="single" w:sz="8" w:space="0" w:color="000000"/>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Engagement de la société civile (#1.3)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C627DF" w:rsidRDefault="00C627DF" w:rsidP="009F411B">
            <w:pPr>
              <w:spacing w:after="0"/>
              <w:rPr>
                <w:rFonts w:ascii="Calibri" w:hAnsi="Calibri" w:cs="Times New Roman"/>
                <w:color w:val="000000"/>
                <w:lang w:val="fr-CA"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r>
      <w:tr w:rsidR="00C627DF" w:rsidRPr="00B33A51" w:rsidTr="009F411B">
        <w:trPr>
          <w:trHeight w:val="323"/>
        </w:trPr>
        <w:tc>
          <w:tcPr>
            <w:tcW w:w="2127" w:type="dxa"/>
            <w:vMerge/>
            <w:tcBorders>
              <w:top w:val="single" w:sz="8" w:space="0" w:color="auto"/>
              <w:left w:val="single" w:sz="12" w:space="0" w:color="auto"/>
              <w:bottom w:val="single" w:sz="8" w:space="0" w:color="000000"/>
              <w:right w:val="single" w:sz="2" w:space="0" w:color="A6A6A6" w:themeColor="background1" w:themeShade="A6"/>
            </w:tcBorders>
            <w:vAlign w:val="center"/>
            <w:hideMark/>
          </w:tcPr>
          <w:p w:rsidR="00C627DF" w:rsidRPr="00C627DF" w:rsidRDefault="00C627DF" w:rsidP="009F411B">
            <w:pPr>
              <w:spacing w:after="0"/>
              <w:rPr>
                <w:rFonts w:ascii="Calibri" w:hAnsi="Calibri" w:cs="Times New Roman"/>
                <w:b/>
                <w:bCs/>
                <w:color w:val="000000"/>
                <w:lang w:val="fr-CA"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bottom"/>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Gouvernance</w:t>
            </w:r>
            <w:proofErr w:type="spellEnd"/>
            <w:r>
              <w:rPr>
                <w:rFonts w:ascii="Calibri" w:hAnsi="Calibri" w:cs="Times New Roman"/>
                <w:color w:val="000000"/>
                <w:lang w:eastAsia="en-GB"/>
              </w:rPr>
              <w:t xml:space="preserve"> du </w:t>
            </w:r>
            <w:proofErr w:type="spellStart"/>
            <w:r>
              <w:rPr>
                <w:rFonts w:ascii="Calibri" w:hAnsi="Calibri" w:cs="Times New Roman"/>
                <w:color w:val="000000"/>
                <w:lang w:eastAsia="en-GB"/>
              </w:rPr>
              <w:t>Groupe</w:t>
            </w:r>
            <w:proofErr w:type="spellEnd"/>
            <w:r>
              <w:rPr>
                <w:rFonts w:ascii="Calibri" w:hAnsi="Calibri" w:cs="Times New Roman"/>
                <w:color w:val="000000"/>
                <w:lang w:eastAsia="en-GB"/>
              </w:rPr>
              <w:t xml:space="preserve"> multipartite</w:t>
            </w:r>
            <w:r w:rsidRPr="00B33A51">
              <w:rPr>
                <w:rFonts w:ascii="Calibri" w:hAnsi="Calibri" w:cs="Times New Roman"/>
                <w:color w:val="000000"/>
                <w:lang w:eastAsia="en-GB"/>
              </w:rPr>
              <w:t xml:space="preserve"> (#1.4)</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53"/>
        </w:trPr>
        <w:tc>
          <w:tcPr>
            <w:tcW w:w="2127" w:type="dxa"/>
            <w:vMerge/>
            <w:tcBorders>
              <w:top w:val="single" w:sz="8" w:space="0" w:color="auto"/>
              <w:left w:val="single" w:sz="12" w:space="0" w:color="auto"/>
              <w:bottom w:val="single" w:sz="12" w:space="0" w:color="000000" w:themeColor="text1"/>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bottom"/>
            <w:hideMark/>
          </w:tcPr>
          <w:p w:rsidR="00C627DF" w:rsidRPr="00B33A51" w:rsidRDefault="00C627DF" w:rsidP="009F411B">
            <w:pPr>
              <w:spacing w:after="0"/>
              <w:rPr>
                <w:rFonts w:ascii="Calibri" w:hAnsi="Calibri" w:cs="Times New Roman"/>
                <w:color w:val="000000"/>
                <w:lang w:eastAsia="en-GB"/>
              </w:rPr>
            </w:pPr>
            <w:r>
              <w:rPr>
                <w:rFonts w:ascii="Calibri" w:hAnsi="Calibri" w:cs="Times New Roman"/>
                <w:color w:val="000000"/>
                <w:lang w:eastAsia="en-GB"/>
              </w:rPr>
              <w:t>Plan de travail</w:t>
            </w:r>
            <w:r w:rsidRPr="00B33A51">
              <w:rPr>
                <w:rFonts w:ascii="Calibri" w:hAnsi="Calibri" w:cs="Times New Roman"/>
                <w:color w:val="000000"/>
                <w:lang w:eastAsia="en-GB"/>
              </w:rPr>
              <w:t xml:space="preserve"> (#1.5)</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53"/>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rsidR="00C627DF" w:rsidRPr="00B33A51" w:rsidRDefault="00C627DF" w:rsidP="009F411B">
            <w:pPr>
              <w:spacing w:after="0"/>
              <w:rPr>
                <w:rFonts w:ascii="Calibri" w:hAnsi="Calibri" w:cs="Times New Roman"/>
                <w:b/>
                <w:bCs/>
                <w:color w:val="000000"/>
                <w:lang w:eastAsia="en-GB"/>
              </w:rPr>
            </w:pPr>
            <w:proofErr w:type="spellStart"/>
            <w:r w:rsidRPr="00B33A51">
              <w:rPr>
                <w:rFonts w:ascii="Calibri" w:hAnsi="Calibri" w:cs="Times New Roman"/>
                <w:b/>
                <w:bCs/>
                <w:color w:val="000000"/>
                <w:lang w:eastAsia="en-GB"/>
              </w:rPr>
              <w:t>Licen</w:t>
            </w:r>
            <w:r>
              <w:rPr>
                <w:rFonts w:ascii="Calibri" w:hAnsi="Calibri" w:cs="Times New Roman"/>
                <w:b/>
                <w:bCs/>
                <w:color w:val="000000"/>
                <w:lang w:eastAsia="en-GB"/>
              </w:rPr>
              <w:t>ces</w:t>
            </w:r>
            <w:proofErr w:type="spellEnd"/>
            <w:r>
              <w:rPr>
                <w:rFonts w:ascii="Calibri" w:hAnsi="Calibri" w:cs="Times New Roman"/>
                <w:b/>
                <w:bCs/>
                <w:color w:val="000000"/>
                <w:lang w:eastAsia="en-GB"/>
              </w:rPr>
              <w:t xml:space="preserve"> et </w:t>
            </w:r>
            <w:proofErr w:type="spellStart"/>
            <w:r>
              <w:rPr>
                <w:rFonts w:ascii="Calibri" w:hAnsi="Calibri" w:cs="Times New Roman"/>
                <w:b/>
                <w:bCs/>
                <w:color w:val="000000"/>
                <w:lang w:eastAsia="en-GB"/>
              </w:rPr>
              <w:t>contrats</w:t>
            </w:r>
            <w:proofErr w:type="spellEnd"/>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r>
              <w:rPr>
                <w:rFonts w:ascii="Calibri" w:hAnsi="Calibri" w:cs="Times New Roman"/>
                <w:color w:val="000000"/>
                <w:lang w:eastAsia="en-GB"/>
              </w:rPr>
              <w:t xml:space="preserve">Cadre </w:t>
            </w:r>
            <w:proofErr w:type="spellStart"/>
            <w:r>
              <w:rPr>
                <w:rFonts w:ascii="Calibri" w:hAnsi="Calibri" w:cs="Times New Roman"/>
                <w:color w:val="000000"/>
                <w:lang w:eastAsia="en-GB"/>
              </w:rPr>
              <w:t>légal</w:t>
            </w:r>
            <w:proofErr w:type="spellEnd"/>
            <w:r w:rsidRPr="00B33A51">
              <w:rPr>
                <w:rFonts w:ascii="Calibri" w:hAnsi="Calibri" w:cs="Times New Roman"/>
                <w:color w:val="000000"/>
                <w:lang w:eastAsia="en-GB"/>
              </w:rPr>
              <w:t xml:space="preserve"> (#2.1)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0076AF"/>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53"/>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Octrois</w:t>
            </w:r>
            <w:proofErr w:type="spellEnd"/>
            <w:r>
              <w:rPr>
                <w:rFonts w:ascii="Calibri" w:hAnsi="Calibri" w:cs="Times New Roman"/>
                <w:color w:val="000000"/>
                <w:lang w:eastAsia="en-GB"/>
              </w:rPr>
              <w:t xml:space="preserve"> de </w:t>
            </w:r>
            <w:proofErr w:type="spellStart"/>
            <w:r>
              <w:rPr>
                <w:rFonts w:ascii="Calibri" w:hAnsi="Calibri" w:cs="Times New Roman"/>
                <w:color w:val="000000"/>
                <w:lang w:eastAsia="en-GB"/>
              </w:rPr>
              <w:t>licences</w:t>
            </w:r>
            <w:proofErr w:type="spellEnd"/>
            <w:r w:rsidRPr="00B33A51">
              <w:rPr>
                <w:rFonts w:ascii="Calibri" w:hAnsi="Calibri" w:cs="Times New Roman"/>
                <w:color w:val="000000"/>
                <w:lang w:eastAsia="en-GB"/>
              </w:rPr>
              <w:t xml:space="preserve"> (#2.2)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F086F" w:rsidP="009F411B">
            <w:pPr>
              <w:spacing w:after="0"/>
              <w:rPr>
                <w:rFonts w:ascii="Calibri" w:hAnsi="Calibri" w:cs="Times New Roman"/>
                <w:color w:val="000000"/>
                <w:lang w:eastAsia="en-GB"/>
              </w:rPr>
            </w:pPr>
            <w:r>
              <w:rPr>
                <w:noProof/>
                <w:lang w:val="fr-CA" w:eastAsia="fr-CA"/>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6350</wp:posOffset>
                      </wp:positionV>
                      <wp:extent cx="342900" cy="165100"/>
                      <wp:effectExtent l="0" t="0" r="0" b="6350"/>
                      <wp:wrapNone/>
                      <wp:docPr id="30"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42900" cy="165100"/>
                              </a:xfrm>
                              <a:prstGeom prst="rightArrow">
                                <a:avLst/>
                              </a:prstGeom>
                              <a:solidFill>
                                <a:srgbClr val="84AE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C4B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2pt;margin-top:.5pt;width:27pt;height:13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" adj="16400" fillcolor="#84ae42" stroked="f" strokeweight="1pt">
                      <v:path arrowok="t"/>
                    </v:shape>
                  </w:pict>
                </mc:Fallback>
              </mc:AlternateContent>
            </w:r>
            <w:r w:rsidR="00C627DF"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53"/>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Registre</w:t>
            </w:r>
            <w:proofErr w:type="spellEnd"/>
            <w:r>
              <w:rPr>
                <w:rFonts w:ascii="Calibri" w:hAnsi="Calibri" w:cs="Times New Roman"/>
                <w:color w:val="000000"/>
                <w:lang w:eastAsia="en-GB"/>
              </w:rPr>
              <w:t xml:space="preserve"> des </w:t>
            </w:r>
            <w:proofErr w:type="spellStart"/>
            <w:r>
              <w:rPr>
                <w:rFonts w:ascii="Calibri" w:hAnsi="Calibri" w:cs="Times New Roman"/>
                <w:color w:val="000000"/>
                <w:lang w:eastAsia="en-GB"/>
              </w:rPr>
              <w:t>licences</w:t>
            </w:r>
            <w:proofErr w:type="spellEnd"/>
            <w:r w:rsidRPr="00B33A51">
              <w:rPr>
                <w:rFonts w:ascii="Calibri" w:hAnsi="Calibri" w:cs="Times New Roman"/>
                <w:color w:val="000000"/>
                <w:lang w:eastAsia="en-GB"/>
              </w:rPr>
              <w:t xml:space="preserve"> (#2.3)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3B03A5" w:rsidTr="009F411B">
        <w:trPr>
          <w:trHeight w:val="53"/>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Politique sur la divulgation des contrats (#2.4)</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C627DF" w:rsidRDefault="00C627DF" w:rsidP="009F411B">
            <w:pPr>
              <w:spacing w:after="0"/>
              <w:rPr>
                <w:rFonts w:ascii="Calibri" w:hAnsi="Calibri" w:cs="Times New Roman"/>
                <w:color w:val="000000"/>
                <w:lang w:val="fr-CA"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0076AF"/>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r>
      <w:tr w:rsidR="00C627DF" w:rsidRPr="00B33A51" w:rsidTr="009F411B">
        <w:trPr>
          <w:trHeight w:val="53"/>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C627DF" w:rsidRDefault="00C627DF" w:rsidP="009F411B">
            <w:pPr>
              <w:spacing w:after="0"/>
              <w:rPr>
                <w:rFonts w:ascii="Calibri" w:hAnsi="Calibri" w:cs="Times New Roman"/>
                <w:b/>
                <w:bCs/>
                <w:color w:val="000000"/>
                <w:lang w:val="fr-CA"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Propriété</w:t>
            </w:r>
            <w:proofErr w:type="spellEnd"/>
            <w:r>
              <w:rPr>
                <w:rFonts w:ascii="Calibri" w:hAnsi="Calibri" w:cs="Times New Roman"/>
                <w:color w:val="000000"/>
                <w:lang w:eastAsia="en-GB"/>
              </w:rPr>
              <w:t xml:space="preserve"> </w:t>
            </w:r>
            <w:proofErr w:type="spellStart"/>
            <w:r>
              <w:rPr>
                <w:rFonts w:ascii="Calibri" w:hAnsi="Calibri" w:cs="Times New Roman"/>
                <w:color w:val="000000"/>
                <w:lang w:eastAsia="en-GB"/>
              </w:rPr>
              <w:t>réelle</w:t>
            </w:r>
            <w:proofErr w:type="spellEnd"/>
            <w:r w:rsidRPr="00B33A51">
              <w:rPr>
                <w:rFonts w:ascii="Calibri" w:hAnsi="Calibri" w:cs="Times New Roman"/>
                <w:color w:val="000000"/>
                <w:lang w:eastAsia="en-GB"/>
              </w:rPr>
              <w:t xml:space="preserve"> (#2.5)</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000000" w:fill="D9D9D9"/>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310"/>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r>
              <w:rPr>
                <w:rFonts w:ascii="Calibri" w:hAnsi="Calibri" w:cs="Times New Roman"/>
                <w:color w:val="000000"/>
                <w:lang w:eastAsia="en-GB"/>
              </w:rPr>
              <w:t xml:space="preserve">Participation de </w:t>
            </w:r>
            <w:proofErr w:type="spellStart"/>
            <w:r>
              <w:rPr>
                <w:rFonts w:ascii="Calibri" w:hAnsi="Calibri" w:cs="Times New Roman"/>
                <w:color w:val="000000"/>
                <w:lang w:eastAsia="en-GB"/>
              </w:rPr>
              <w:t>l’État</w:t>
            </w:r>
            <w:proofErr w:type="spellEnd"/>
            <w:r w:rsidRPr="00B33A51">
              <w:rPr>
                <w:rFonts w:ascii="Calibri" w:hAnsi="Calibri" w:cs="Times New Roman"/>
                <w:color w:val="000000"/>
                <w:lang w:eastAsia="en-GB"/>
              </w:rPr>
              <w:t xml:space="preserve"> (#2.6)</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3B03A5" w:rsidTr="009F411B">
        <w:trPr>
          <w:trHeight w:val="337"/>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rsidR="00C627DF" w:rsidRPr="00B33A51" w:rsidRDefault="00C627DF" w:rsidP="009F411B">
            <w:pPr>
              <w:spacing w:after="0"/>
              <w:rPr>
                <w:rFonts w:ascii="Calibri" w:hAnsi="Calibri" w:cs="Times New Roman"/>
                <w:b/>
                <w:bCs/>
                <w:color w:val="000000"/>
                <w:lang w:eastAsia="en-GB"/>
              </w:rPr>
            </w:pPr>
            <w:proofErr w:type="spellStart"/>
            <w:r>
              <w:rPr>
                <w:rFonts w:ascii="Calibri" w:hAnsi="Calibri" w:cs="Times New Roman"/>
                <w:b/>
                <w:bCs/>
                <w:color w:val="000000"/>
                <w:lang w:eastAsia="en-GB"/>
              </w:rPr>
              <w:lastRenderedPageBreak/>
              <w:t>Suivi</w:t>
            </w:r>
            <w:proofErr w:type="spellEnd"/>
            <w:r>
              <w:rPr>
                <w:rFonts w:ascii="Calibri" w:hAnsi="Calibri" w:cs="Times New Roman"/>
                <w:b/>
                <w:bCs/>
                <w:color w:val="000000"/>
                <w:lang w:eastAsia="en-GB"/>
              </w:rPr>
              <w:t xml:space="preserve"> de la production</w:t>
            </w:r>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Données sur les activités d’exploration (#3.1)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rsidR="00C627DF" w:rsidRPr="00C627DF" w:rsidRDefault="00C627DF" w:rsidP="009F411B">
            <w:pPr>
              <w:spacing w:after="0"/>
              <w:rPr>
                <w:rFonts w:ascii="Calibri" w:hAnsi="Calibri" w:cs="Times New Roman"/>
                <w:color w:val="000000"/>
                <w:lang w:val="fr-CA"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r>
      <w:tr w:rsidR="00C627DF" w:rsidRPr="003B03A5" w:rsidTr="009F411B">
        <w:trPr>
          <w:trHeight w:val="300"/>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C627DF" w:rsidRDefault="00C627DF" w:rsidP="009F411B">
            <w:pPr>
              <w:spacing w:after="0"/>
              <w:rPr>
                <w:rFonts w:ascii="Calibri" w:hAnsi="Calibri" w:cs="Times New Roman"/>
                <w:b/>
                <w:bCs/>
                <w:color w:val="000000"/>
                <w:lang w:val="fr-CA"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Données sur les activités de production (#3.2)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rsidR="00C627DF" w:rsidRPr="00C627DF" w:rsidRDefault="00C627DF" w:rsidP="009F411B">
            <w:pPr>
              <w:spacing w:after="0"/>
              <w:rPr>
                <w:rFonts w:ascii="Calibri" w:hAnsi="Calibri" w:cs="Times New Roman"/>
                <w:color w:val="000000"/>
                <w:lang w:val="fr-CA"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C627DF" w:rsidRDefault="00CF086F" w:rsidP="009F411B">
            <w:pPr>
              <w:spacing w:after="0"/>
              <w:rPr>
                <w:rFonts w:ascii="Calibri" w:hAnsi="Calibri" w:cs="Times New Roman"/>
                <w:color w:val="000000"/>
                <w:lang w:val="fr-CA" w:eastAsia="en-GB"/>
              </w:rPr>
            </w:pPr>
            <w:r>
              <w:rPr>
                <w:noProof/>
                <w:lang w:val="fr-CA" w:eastAsia="fr-CA"/>
              </w:rPr>
              <mc:AlternateContent>
                <mc:Choice Requires="wps">
                  <w:drawing>
                    <wp:anchor distT="0" distB="0" distL="114300" distR="114300" simplePos="0" relativeHeight="251658752" behindDoc="0" locked="0" layoutInCell="1" allowOverlap="1">
                      <wp:simplePos x="0" y="0"/>
                      <wp:positionH relativeFrom="column">
                        <wp:posOffset>-317500</wp:posOffset>
                      </wp:positionH>
                      <wp:positionV relativeFrom="paragraph">
                        <wp:posOffset>-12700</wp:posOffset>
                      </wp:positionV>
                      <wp:extent cx="342900" cy="165100"/>
                      <wp:effectExtent l="0" t="0" r="0" b="6350"/>
                      <wp:wrapNone/>
                      <wp:docPr id="28"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42900" cy="165100"/>
                              </a:xfrm>
                              <a:prstGeom prst="rightArrow">
                                <a:avLst/>
                              </a:prstGeom>
                              <a:solidFill>
                                <a:srgbClr val="2D8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ADF6" id="Arrow: Right 4" o:spid="_x0000_s1026" type="#_x0000_t13" style="position:absolute;margin-left:-25pt;margin-top:-1pt;width:27pt;height:13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" adj="16400" fillcolor="#2d8b2a" stroked="f" strokeweight="1pt">
                      <v:path arrowok="t"/>
                    </v:shape>
                  </w:pict>
                </mc:Fallback>
              </mc:AlternateContent>
            </w:r>
            <w:r w:rsidR="00C627DF" w:rsidRPr="00C627DF">
              <w:rPr>
                <w:rFonts w:ascii="Calibri" w:hAnsi="Calibri" w:cs="Times New Roman"/>
                <w:color w:val="000000"/>
                <w:lang w:val="fr-CA"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r>
      <w:tr w:rsidR="00C627DF" w:rsidRPr="00B33A51" w:rsidTr="009F411B">
        <w:trPr>
          <w:trHeight w:val="300"/>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rsidR="00C627DF" w:rsidRPr="00C627DF" w:rsidRDefault="00C627DF" w:rsidP="009F411B">
            <w:pPr>
              <w:spacing w:after="0"/>
              <w:rPr>
                <w:rFonts w:ascii="Calibri" w:hAnsi="Calibri" w:cs="Times New Roman"/>
                <w:b/>
                <w:bCs/>
                <w:color w:val="000000"/>
                <w:lang w:val="fr-CA"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Données</w:t>
            </w:r>
            <w:proofErr w:type="spellEnd"/>
            <w:r>
              <w:rPr>
                <w:rFonts w:ascii="Calibri" w:hAnsi="Calibri" w:cs="Times New Roman"/>
                <w:color w:val="000000"/>
                <w:lang w:eastAsia="en-GB"/>
              </w:rPr>
              <w:t xml:space="preserve"> </w:t>
            </w:r>
            <w:proofErr w:type="spellStart"/>
            <w:r>
              <w:rPr>
                <w:rFonts w:ascii="Calibri" w:hAnsi="Calibri" w:cs="Times New Roman"/>
                <w:color w:val="000000"/>
                <w:lang w:eastAsia="en-GB"/>
              </w:rPr>
              <w:t>sur</w:t>
            </w:r>
            <w:proofErr w:type="spellEnd"/>
            <w:r>
              <w:rPr>
                <w:rFonts w:ascii="Calibri" w:hAnsi="Calibri" w:cs="Times New Roman"/>
                <w:color w:val="000000"/>
                <w:lang w:eastAsia="en-GB"/>
              </w:rPr>
              <w:t xml:space="preserve"> les exportations</w:t>
            </w:r>
            <w:r w:rsidRPr="00B33A51">
              <w:rPr>
                <w:rFonts w:ascii="Calibri" w:hAnsi="Calibri" w:cs="Times New Roman"/>
                <w:color w:val="000000"/>
                <w:lang w:eastAsia="en-GB"/>
              </w:rPr>
              <w:t xml:space="preserve"> (#3.3)</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285"/>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rsidR="00C627DF" w:rsidRPr="00B33A51" w:rsidRDefault="00C627DF" w:rsidP="009F411B">
            <w:pPr>
              <w:spacing w:after="0"/>
              <w:rPr>
                <w:rFonts w:ascii="Calibri" w:hAnsi="Calibri" w:cs="Times New Roman"/>
                <w:b/>
                <w:bCs/>
                <w:color w:val="000000"/>
                <w:lang w:eastAsia="en-GB"/>
              </w:rPr>
            </w:pPr>
            <w:proofErr w:type="spellStart"/>
            <w:r>
              <w:rPr>
                <w:rFonts w:ascii="Calibri" w:hAnsi="Calibri" w:cs="Times New Roman"/>
                <w:b/>
                <w:bCs/>
                <w:color w:val="000000"/>
                <w:lang w:eastAsia="en-GB"/>
              </w:rPr>
              <w:t>Collecte</w:t>
            </w:r>
            <w:proofErr w:type="spellEnd"/>
            <w:r>
              <w:rPr>
                <w:rFonts w:ascii="Calibri" w:hAnsi="Calibri" w:cs="Times New Roman"/>
                <w:b/>
                <w:bCs/>
                <w:color w:val="000000"/>
                <w:lang w:eastAsia="en-GB"/>
              </w:rPr>
              <w:t xml:space="preserve"> de </w:t>
            </w:r>
            <w:proofErr w:type="spellStart"/>
            <w:r>
              <w:rPr>
                <w:rFonts w:ascii="Calibri" w:hAnsi="Calibri" w:cs="Times New Roman"/>
                <w:b/>
                <w:bCs/>
                <w:color w:val="000000"/>
                <w:lang w:eastAsia="en-GB"/>
              </w:rPr>
              <w:t>revenus</w:t>
            </w:r>
            <w:proofErr w:type="spellEnd"/>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Exhaustivité</w:t>
            </w:r>
            <w:proofErr w:type="spellEnd"/>
            <w:r>
              <w:rPr>
                <w:rFonts w:ascii="Calibri" w:hAnsi="Calibri" w:cs="Times New Roman"/>
                <w:color w:val="000000"/>
                <w:lang w:eastAsia="en-GB"/>
              </w:rPr>
              <w:t xml:space="preserve"> </w:t>
            </w:r>
            <w:r w:rsidRPr="00B33A51">
              <w:rPr>
                <w:rFonts w:ascii="Calibri" w:hAnsi="Calibri" w:cs="Times New Roman"/>
                <w:color w:val="000000"/>
                <w:lang w:eastAsia="en-GB"/>
              </w:rPr>
              <w:t>(#4.1)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rsidR="00C627DF" w:rsidRPr="00B33A51" w:rsidRDefault="00C627DF" w:rsidP="009F411B">
            <w:pPr>
              <w:spacing w:after="0"/>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53"/>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Revenus</w:t>
            </w:r>
            <w:proofErr w:type="spellEnd"/>
            <w:r>
              <w:rPr>
                <w:rFonts w:ascii="Calibri" w:hAnsi="Calibri" w:cs="Times New Roman"/>
                <w:color w:val="000000"/>
                <w:lang w:eastAsia="en-GB"/>
              </w:rPr>
              <w:t xml:space="preserve"> en nature </w:t>
            </w:r>
            <w:r w:rsidRPr="00B33A51">
              <w:rPr>
                <w:rFonts w:ascii="Calibri" w:hAnsi="Calibri" w:cs="Times New Roman"/>
                <w:color w:val="000000"/>
                <w:lang w:eastAsia="en-GB"/>
              </w:rPr>
              <w:t>(#4.2)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0076AF"/>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77"/>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r>
              <w:rPr>
                <w:rFonts w:ascii="Calibri" w:hAnsi="Calibri" w:cs="Times New Roman"/>
                <w:color w:val="000000"/>
                <w:lang w:eastAsia="en-GB"/>
              </w:rPr>
              <w:t xml:space="preserve">Accords de </w:t>
            </w:r>
            <w:proofErr w:type="spellStart"/>
            <w:r>
              <w:rPr>
                <w:rFonts w:ascii="Calibri" w:hAnsi="Calibri" w:cs="Times New Roman"/>
                <w:color w:val="000000"/>
                <w:lang w:eastAsia="en-GB"/>
              </w:rPr>
              <w:t>troc</w:t>
            </w:r>
            <w:proofErr w:type="spellEnd"/>
            <w:r w:rsidRPr="00B33A51">
              <w:rPr>
                <w:rFonts w:ascii="Calibri" w:hAnsi="Calibri" w:cs="Times New Roman"/>
                <w:color w:val="000000"/>
                <w:lang w:eastAsia="en-GB"/>
              </w:rPr>
              <w:t xml:space="preserve"> (#4.3)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diagStripe"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3B03A5" w:rsidTr="009F411B">
        <w:trPr>
          <w:trHeight w:val="53"/>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Transactions sur les entreprises d’État (#4.4)</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rsidR="00C627DF" w:rsidRPr="00C627DF" w:rsidRDefault="00C627DF" w:rsidP="009F411B">
            <w:pPr>
              <w:spacing w:after="0"/>
              <w:rPr>
                <w:rFonts w:ascii="Calibri" w:hAnsi="Calibri" w:cs="Times New Roman"/>
                <w:color w:val="000000"/>
                <w:lang w:val="fr-CA"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center"/>
            <w:hideMark/>
          </w:tcPr>
          <w:p w:rsidR="00C627DF" w:rsidRPr="00C627DF" w:rsidRDefault="00C627DF" w:rsidP="009F411B">
            <w:pPr>
              <w:spacing w:after="0"/>
              <w:jc w:val="center"/>
              <w:rPr>
                <w:rFonts w:ascii="Calibri" w:hAnsi="Calibri" w:cs="Times New Roman"/>
                <w:color w:val="00B050"/>
                <w:lang w:val="fr-CA" w:eastAsia="en-GB"/>
              </w:rPr>
            </w:pPr>
            <w:r w:rsidRPr="00C627DF">
              <w:rPr>
                <w:rFonts w:ascii="Calibri" w:hAnsi="Calibri" w:cs="Times New Roman"/>
                <w:color w:val="00B050"/>
                <w:lang w:val="fr-CA"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center"/>
            <w:hideMark/>
          </w:tcPr>
          <w:p w:rsidR="00C627DF" w:rsidRPr="00C627DF" w:rsidRDefault="00C627DF" w:rsidP="009F411B">
            <w:pPr>
              <w:spacing w:after="0"/>
              <w:jc w:val="center"/>
              <w:rPr>
                <w:rFonts w:ascii="Calibri" w:hAnsi="Calibri" w:cs="Times New Roman"/>
                <w:color w:val="00B050"/>
                <w:lang w:val="fr-CA" w:eastAsia="en-GB"/>
              </w:rPr>
            </w:pPr>
            <w:r w:rsidRPr="00C627DF">
              <w:rPr>
                <w:rFonts w:ascii="Calibri" w:hAnsi="Calibri" w:cs="Times New Roman"/>
                <w:color w:val="00B050"/>
                <w:lang w:val="fr-CA"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center"/>
            <w:hideMark/>
          </w:tcPr>
          <w:p w:rsidR="00C627DF" w:rsidRPr="00C627DF" w:rsidRDefault="00C627DF" w:rsidP="009F411B">
            <w:pPr>
              <w:spacing w:after="0"/>
              <w:jc w:val="center"/>
              <w:rPr>
                <w:rFonts w:ascii="Calibri" w:hAnsi="Calibri" w:cs="Times New Roman"/>
                <w:color w:val="00B050"/>
                <w:lang w:val="fr-CA" w:eastAsia="en-GB"/>
              </w:rPr>
            </w:pPr>
            <w:r w:rsidRPr="00C627DF">
              <w:rPr>
                <w:rFonts w:ascii="Calibri" w:hAnsi="Calibri" w:cs="Times New Roman"/>
                <w:color w:val="00B050"/>
                <w:lang w:val="fr-CA" w:eastAsia="en-GB"/>
              </w:rPr>
              <w:t> </w:t>
            </w:r>
          </w:p>
        </w:tc>
      </w:tr>
      <w:tr w:rsidR="00C627DF" w:rsidRPr="00B33A51" w:rsidTr="009F411B">
        <w:trPr>
          <w:trHeight w:val="53"/>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C627DF" w:rsidRDefault="00C627DF" w:rsidP="009F411B">
            <w:pPr>
              <w:spacing w:after="0"/>
              <w:rPr>
                <w:rFonts w:ascii="Calibri" w:hAnsi="Calibri" w:cs="Times New Roman"/>
                <w:b/>
                <w:bCs/>
                <w:color w:val="000000"/>
                <w:lang w:val="fr-CA"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r>
              <w:rPr>
                <w:rFonts w:ascii="Calibri" w:hAnsi="Calibri" w:cs="Times New Roman"/>
                <w:color w:val="000000"/>
                <w:lang w:eastAsia="en-GB"/>
              </w:rPr>
              <w:t xml:space="preserve">Transactions des </w:t>
            </w:r>
            <w:proofErr w:type="spellStart"/>
            <w:r>
              <w:rPr>
                <w:rFonts w:ascii="Calibri" w:hAnsi="Calibri" w:cs="Times New Roman"/>
                <w:color w:val="000000"/>
                <w:lang w:eastAsia="en-GB"/>
              </w:rPr>
              <w:t>entreprises</w:t>
            </w:r>
            <w:proofErr w:type="spellEnd"/>
            <w:r>
              <w:rPr>
                <w:rFonts w:ascii="Calibri" w:hAnsi="Calibri" w:cs="Times New Roman"/>
                <w:color w:val="000000"/>
                <w:lang w:eastAsia="en-GB"/>
              </w:rPr>
              <w:t xml:space="preserve"> </w:t>
            </w:r>
            <w:proofErr w:type="spellStart"/>
            <w:r>
              <w:rPr>
                <w:rFonts w:ascii="Calibri" w:hAnsi="Calibri" w:cs="Times New Roman"/>
                <w:color w:val="000000"/>
                <w:lang w:eastAsia="en-GB"/>
              </w:rPr>
              <w:t>d’État</w:t>
            </w:r>
            <w:proofErr w:type="spellEnd"/>
            <w:r w:rsidRPr="00B33A51">
              <w:rPr>
                <w:rFonts w:ascii="Calibri" w:hAnsi="Calibri" w:cs="Times New Roman"/>
                <w:color w:val="000000"/>
                <w:lang w:eastAsia="en-GB"/>
              </w:rPr>
              <w:t xml:space="preserve"> (#4.5)</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center"/>
            <w:hideMark/>
          </w:tcPr>
          <w:p w:rsidR="00C627DF" w:rsidRPr="00B33A51" w:rsidRDefault="00C627DF" w:rsidP="009F411B">
            <w:pPr>
              <w:spacing w:after="0"/>
              <w:jc w:val="center"/>
              <w:rPr>
                <w:rFonts w:ascii="Calibri" w:hAnsi="Calibri" w:cs="Times New Roman"/>
                <w:color w:val="00B050"/>
                <w:lang w:eastAsia="en-GB"/>
              </w:rPr>
            </w:pPr>
            <w:r w:rsidRPr="00B33A51">
              <w:rPr>
                <w:rFonts w:ascii="Calibri" w:hAnsi="Calibri" w:cs="Times New Roman"/>
                <w:color w:val="00B05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281"/>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Paiements</w:t>
            </w:r>
            <w:proofErr w:type="spellEnd"/>
            <w:r>
              <w:rPr>
                <w:rFonts w:ascii="Calibri" w:hAnsi="Calibri" w:cs="Times New Roman"/>
                <w:color w:val="000000"/>
                <w:lang w:eastAsia="en-GB"/>
              </w:rPr>
              <w:t xml:space="preserve"> directs </w:t>
            </w:r>
            <w:proofErr w:type="spellStart"/>
            <w:r>
              <w:rPr>
                <w:rFonts w:ascii="Calibri" w:hAnsi="Calibri" w:cs="Times New Roman"/>
                <w:color w:val="000000"/>
                <w:lang w:eastAsia="en-GB"/>
              </w:rPr>
              <w:t>infranationaux</w:t>
            </w:r>
            <w:proofErr w:type="spellEnd"/>
            <w:r w:rsidRPr="00B33A51">
              <w:rPr>
                <w:rFonts w:ascii="Calibri" w:hAnsi="Calibri" w:cs="Times New Roman"/>
                <w:color w:val="000000"/>
                <w:lang w:eastAsia="en-GB"/>
              </w:rPr>
              <w:t xml:space="preserve"> (#4.6)</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AC433"/>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53"/>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sidRPr="00B33A51">
              <w:rPr>
                <w:rFonts w:ascii="Calibri" w:hAnsi="Calibri" w:cs="Times New Roman"/>
                <w:color w:val="000000"/>
                <w:lang w:eastAsia="en-GB"/>
              </w:rPr>
              <w:t>D</w:t>
            </w:r>
            <w:r>
              <w:rPr>
                <w:rFonts w:ascii="Calibri" w:hAnsi="Calibri" w:cs="Times New Roman"/>
                <w:color w:val="000000"/>
                <w:lang w:eastAsia="en-GB"/>
              </w:rPr>
              <w:t>ésagrégation</w:t>
            </w:r>
            <w:proofErr w:type="spellEnd"/>
            <w:r w:rsidRPr="00B33A51">
              <w:rPr>
                <w:rFonts w:ascii="Calibri" w:hAnsi="Calibri" w:cs="Times New Roman"/>
                <w:color w:val="000000"/>
                <w:lang w:eastAsia="en-GB"/>
              </w:rPr>
              <w:t xml:space="preserve"> (#4.7)</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56"/>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Ponctualité</w:t>
            </w:r>
            <w:proofErr w:type="spellEnd"/>
            <w:r>
              <w:rPr>
                <w:rFonts w:ascii="Calibri" w:hAnsi="Calibri" w:cs="Times New Roman"/>
                <w:color w:val="000000"/>
                <w:lang w:eastAsia="en-GB"/>
              </w:rPr>
              <w:t xml:space="preserve"> des </w:t>
            </w:r>
            <w:proofErr w:type="spellStart"/>
            <w:r>
              <w:rPr>
                <w:rFonts w:ascii="Calibri" w:hAnsi="Calibri" w:cs="Times New Roman"/>
                <w:color w:val="000000"/>
                <w:lang w:eastAsia="en-GB"/>
              </w:rPr>
              <w:t>données</w:t>
            </w:r>
            <w:proofErr w:type="spellEnd"/>
            <w:r w:rsidRPr="00B33A51">
              <w:rPr>
                <w:rFonts w:ascii="Calibri" w:hAnsi="Calibri" w:cs="Times New Roman"/>
                <w:color w:val="000000"/>
                <w:lang w:eastAsia="en-GB"/>
              </w:rPr>
              <w:t xml:space="preserve"> (#4.8)</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300"/>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noWrap/>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Qualité</w:t>
            </w:r>
            <w:proofErr w:type="spellEnd"/>
            <w:r>
              <w:rPr>
                <w:rFonts w:ascii="Calibri" w:hAnsi="Calibri" w:cs="Times New Roman"/>
                <w:color w:val="000000"/>
                <w:lang w:eastAsia="en-GB"/>
              </w:rPr>
              <w:t xml:space="preserve"> des </w:t>
            </w:r>
            <w:proofErr w:type="spellStart"/>
            <w:r>
              <w:rPr>
                <w:rFonts w:ascii="Calibri" w:hAnsi="Calibri" w:cs="Times New Roman"/>
                <w:color w:val="000000"/>
                <w:lang w:eastAsia="en-GB"/>
              </w:rPr>
              <w:t>données</w:t>
            </w:r>
            <w:proofErr w:type="spellEnd"/>
            <w:r>
              <w:rPr>
                <w:rFonts w:ascii="Calibri" w:hAnsi="Calibri" w:cs="Times New Roman"/>
                <w:color w:val="000000"/>
                <w:lang w:eastAsia="en-GB"/>
              </w:rPr>
              <w:t xml:space="preserve"> </w:t>
            </w:r>
            <w:r w:rsidRPr="00B33A51">
              <w:rPr>
                <w:rFonts w:ascii="Calibri" w:hAnsi="Calibri" w:cs="Times New Roman"/>
                <w:color w:val="000000"/>
                <w:lang w:eastAsia="en-GB"/>
              </w:rPr>
              <w:t>(#4.9)</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300"/>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vAlign w:val="center"/>
            <w:hideMark/>
          </w:tcPr>
          <w:p w:rsidR="00C627DF" w:rsidRPr="00B33A51" w:rsidRDefault="00C627DF" w:rsidP="009F411B">
            <w:pPr>
              <w:spacing w:after="0"/>
              <w:rPr>
                <w:rFonts w:ascii="Calibri" w:hAnsi="Calibri" w:cs="Times New Roman"/>
                <w:b/>
                <w:bCs/>
                <w:color w:val="000000"/>
                <w:lang w:eastAsia="en-GB"/>
              </w:rPr>
            </w:pPr>
            <w:r>
              <w:rPr>
                <w:rFonts w:ascii="Calibri" w:hAnsi="Calibri" w:cs="Times New Roman"/>
                <w:b/>
                <w:bCs/>
                <w:color w:val="000000"/>
                <w:lang w:eastAsia="en-GB"/>
              </w:rPr>
              <w:t xml:space="preserve">Affectation des </w:t>
            </w:r>
            <w:proofErr w:type="spellStart"/>
            <w:r>
              <w:rPr>
                <w:rFonts w:ascii="Calibri" w:hAnsi="Calibri" w:cs="Times New Roman"/>
                <w:b/>
                <w:bCs/>
                <w:color w:val="000000"/>
                <w:lang w:eastAsia="en-GB"/>
              </w:rPr>
              <w:t>revenus</w:t>
            </w:r>
            <w:proofErr w:type="spellEnd"/>
          </w:p>
        </w:tc>
        <w:tc>
          <w:tcPr>
            <w:tcW w:w="4535" w:type="dxa"/>
            <w:gridSpan w:val="4"/>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Répartitions</w:t>
            </w:r>
            <w:proofErr w:type="spellEnd"/>
            <w:r>
              <w:rPr>
                <w:rFonts w:ascii="Calibri" w:hAnsi="Calibri" w:cs="Times New Roman"/>
                <w:color w:val="000000"/>
                <w:lang w:eastAsia="en-GB"/>
              </w:rPr>
              <w:t xml:space="preserve"> des </w:t>
            </w:r>
            <w:proofErr w:type="spellStart"/>
            <w:r>
              <w:rPr>
                <w:rFonts w:ascii="Calibri" w:hAnsi="Calibri" w:cs="Times New Roman"/>
                <w:color w:val="000000"/>
                <w:lang w:eastAsia="en-GB"/>
              </w:rPr>
              <w:t>revenus</w:t>
            </w:r>
            <w:proofErr w:type="spellEnd"/>
            <w:r w:rsidRPr="00B33A51">
              <w:rPr>
                <w:rFonts w:ascii="Calibri" w:hAnsi="Calibri" w:cs="Times New Roman"/>
                <w:color w:val="000000"/>
                <w:lang w:eastAsia="en-GB"/>
              </w:rPr>
              <w:t xml:space="preserve"> (#5.1)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300"/>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Transferts</w:t>
            </w:r>
            <w:proofErr w:type="spellEnd"/>
            <w:r>
              <w:rPr>
                <w:rFonts w:ascii="Calibri" w:hAnsi="Calibri" w:cs="Times New Roman"/>
                <w:color w:val="000000"/>
                <w:lang w:eastAsia="en-GB"/>
              </w:rPr>
              <w:t xml:space="preserve"> </w:t>
            </w:r>
            <w:proofErr w:type="spellStart"/>
            <w:r>
              <w:rPr>
                <w:rFonts w:ascii="Calibri" w:hAnsi="Calibri" w:cs="Times New Roman"/>
                <w:color w:val="000000"/>
                <w:lang w:eastAsia="en-GB"/>
              </w:rPr>
              <w:t>infranationaux</w:t>
            </w:r>
            <w:proofErr w:type="spellEnd"/>
            <w:r w:rsidRPr="00B33A51">
              <w:rPr>
                <w:rFonts w:ascii="Calibri" w:hAnsi="Calibri" w:cs="Times New Roman"/>
                <w:color w:val="000000"/>
                <w:lang w:eastAsia="en-GB"/>
              </w:rPr>
              <w:t xml:space="preserve"> (#5.2)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AC433"/>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3B03A5" w:rsidTr="009F411B">
        <w:trPr>
          <w:trHeight w:val="300"/>
        </w:trPr>
        <w:tc>
          <w:tcPr>
            <w:tcW w:w="2127" w:type="dxa"/>
            <w:vMerge/>
            <w:tcBorders>
              <w:top w:val="single" w:sz="2" w:space="0" w:color="A6A6A6" w:themeColor="background1" w:themeShade="A6"/>
              <w:left w:val="single" w:sz="12" w:space="0" w:color="auto"/>
              <w:bottom w:val="single" w:sz="12" w:space="0" w:color="000000" w:themeColor="text1"/>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FFFFFF"/>
            <w:vAlign w:val="center"/>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Gestion des revenus et dépenses (#5.3)</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tcPr>
          <w:p w:rsidR="00C627DF" w:rsidRPr="00C627DF" w:rsidRDefault="00C627DF" w:rsidP="009F411B">
            <w:pPr>
              <w:spacing w:after="0"/>
              <w:rPr>
                <w:rFonts w:ascii="Calibri" w:hAnsi="Calibri" w:cs="Times New Roman"/>
                <w:color w:val="000000"/>
                <w:lang w:val="fr-CA" w:eastAsia="en-GB"/>
              </w:rPr>
            </w:pPr>
          </w:p>
        </w:tc>
        <w:tc>
          <w:tcPr>
            <w:tcW w:w="532"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91"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70" w:type="dxa"/>
            <w:tcBorders>
              <w:top w:val="single" w:sz="2" w:space="0" w:color="A6A6A6" w:themeColor="background1" w:themeShade="A6"/>
              <w:left w:val="single" w:sz="2" w:space="0" w:color="A6A6A6" w:themeColor="background1" w:themeShade="A6"/>
              <w:bottom w:val="single" w:sz="12" w:space="0" w:color="000000" w:themeColor="text1"/>
              <w:right w:val="single" w:sz="2" w:space="0" w:color="A6A6A6" w:themeColor="background1" w:themeShade="A6"/>
            </w:tcBorders>
            <w:shd w:val="clear" w:color="000000" w:fill="D9D9D9"/>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21" w:type="dxa"/>
            <w:tcBorders>
              <w:top w:val="single" w:sz="2" w:space="0" w:color="A6A6A6" w:themeColor="background1" w:themeShade="A6"/>
              <w:left w:val="single" w:sz="2" w:space="0" w:color="A6A6A6" w:themeColor="background1" w:themeShade="A6"/>
              <w:bottom w:val="single" w:sz="12" w:space="0" w:color="000000" w:themeColor="text1"/>
              <w:right w:val="single" w:sz="12" w:space="0" w:color="auto"/>
            </w:tcBorders>
            <w:shd w:val="clear" w:color="000000" w:fill="D9D9D9"/>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r>
      <w:tr w:rsidR="00C627DF" w:rsidRPr="00B33A51" w:rsidTr="009F411B">
        <w:trPr>
          <w:trHeight w:val="347"/>
        </w:trPr>
        <w:tc>
          <w:tcPr>
            <w:tcW w:w="2127" w:type="dxa"/>
            <w:vMerge w:val="restart"/>
            <w:tcBorders>
              <w:top w:val="single" w:sz="12" w:space="0" w:color="000000" w:themeColor="text1"/>
              <w:left w:val="single" w:sz="12" w:space="0" w:color="auto"/>
              <w:bottom w:val="single" w:sz="2" w:space="0" w:color="A6A6A6" w:themeColor="background1" w:themeShade="A6"/>
              <w:right w:val="single" w:sz="2" w:space="0" w:color="A6A6A6" w:themeColor="background1" w:themeShade="A6"/>
            </w:tcBorders>
            <w:shd w:val="clear" w:color="000000" w:fill="BFBFBF"/>
            <w:vAlign w:val="center"/>
            <w:hideMark/>
          </w:tcPr>
          <w:p w:rsidR="00C627DF" w:rsidRPr="00B33A51" w:rsidRDefault="00C627DF" w:rsidP="009F411B">
            <w:pPr>
              <w:spacing w:after="0"/>
              <w:rPr>
                <w:rFonts w:ascii="Calibri" w:hAnsi="Calibri" w:cs="Times New Roman"/>
                <w:b/>
                <w:bCs/>
                <w:color w:val="000000"/>
                <w:lang w:eastAsia="en-GB"/>
              </w:rPr>
            </w:pPr>
            <w:r>
              <w:rPr>
                <w:rFonts w:ascii="Calibri" w:hAnsi="Calibri" w:cs="Times New Roman"/>
                <w:b/>
                <w:bCs/>
                <w:color w:val="000000"/>
                <w:lang w:eastAsia="en-GB"/>
              </w:rPr>
              <w:t>Contribution socio-</w:t>
            </w:r>
            <w:proofErr w:type="spellStart"/>
            <w:r>
              <w:rPr>
                <w:rFonts w:ascii="Calibri" w:hAnsi="Calibri" w:cs="Times New Roman"/>
                <w:b/>
                <w:bCs/>
                <w:color w:val="000000"/>
                <w:lang w:eastAsia="en-GB"/>
              </w:rPr>
              <w:t>économique</w:t>
            </w:r>
            <w:proofErr w:type="spellEnd"/>
          </w:p>
        </w:tc>
        <w:tc>
          <w:tcPr>
            <w:tcW w:w="4535" w:type="dxa"/>
            <w:gridSpan w:val="4"/>
            <w:tcBorders>
              <w:top w:val="single" w:sz="12" w:space="0" w:color="000000" w:themeColor="text1"/>
              <w:left w:val="single" w:sz="2" w:space="0" w:color="A6A6A6" w:themeColor="background1" w:themeShade="A6"/>
              <w:right w:val="single" w:sz="2" w:space="0" w:color="A6A6A6" w:themeColor="background1" w:themeShade="A6"/>
            </w:tcBorders>
            <w:shd w:val="clear" w:color="000000" w:fill="FFFFFF"/>
            <w:vAlign w:val="center"/>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Dépenses</w:t>
            </w:r>
            <w:proofErr w:type="spellEnd"/>
            <w:r>
              <w:rPr>
                <w:rFonts w:ascii="Calibri" w:hAnsi="Calibri" w:cs="Times New Roman"/>
                <w:color w:val="000000"/>
                <w:lang w:eastAsia="en-GB"/>
              </w:rPr>
              <w:t xml:space="preserve"> </w:t>
            </w:r>
            <w:proofErr w:type="spellStart"/>
            <w:r>
              <w:rPr>
                <w:rFonts w:ascii="Calibri" w:hAnsi="Calibri" w:cs="Times New Roman"/>
                <w:color w:val="000000"/>
                <w:lang w:eastAsia="en-GB"/>
              </w:rPr>
              <w:t>sociales</w:t>
            </w:r>
            <w:proofErr w:type="spellEnd"/>
            <w:r>
              <w:rPr>
                <w:rFonts w:ascii="Calibri" w:hAnsi="Calibri" w:cs="Times New Roman"/>
                <w:color w:val="000000"/>
                <w:lang w:eastAsia="en-GB"/>
              </w:rPr>
              <w:t xml:space="preserve"> </w:t>
            </w:r>
            <w:proofErr w:type="spellStart"/>
            <w:r>
              <w:rPr>
                <w:rFonts w:ascii="Calibri" w:hAnsi="Calibri" w:cs="Times New Roman"/>
                <w:color w:val="000000"/>
                <w:lang w:eastAsia="en-GB"/>
              </w:rPr>
              <w:t>obligatoires</w:t>
            </w:r>
            <w:proofErr w:type="spellEnd"/>
            <w:r w:rsidRPr="00B33A51">
              <w:rPr>
                <w:rFonts w:ascii="Calibri" w:hAnsi="Calibri" w:cs="Times New Roman"/>
                <w:color w:val="000000"/>
                <w:lang w:eastAsia="en-GB"/>
              </w:rPr>
              <w:t xml:space="preserve"> (#6.1.)</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tcPr>
          <w:p w:rsidR="00C627DF" w:rsidRPr="00B33A51" w:rsidRDefault="00C627DF" w:rsidP="009F411B">
            <w:pPr>
              <w:spacing w:after="0"/>
              <w:rPr>
                <w:rFonts w:ascii="Calibri" w:hAnsi="Calibri" w:cs="Times New Roman"/>
                <w:color w:val="000000"/>
                <w:lang w:eastAsia="en-GB"/>
              </w:rPr>
            </w:pPr>
          </w:p>
        </w:tc>
        <w:tc>
          <w:tcPr>
            <w:tcW w:w="532"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12"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diagStripe" w:color="auto" w:fill="auto"/>
            <w:noWrap/>
            <w:vAlign w:val="bottom"/>
            <w:hideMark/>
          </w:tcPr>
          <w:p w:rsidR="00C627DF" w:rsidRPr="00B33A51" w:rsidRDefault="00C627DF" w:rsidP="009F411B">
            <w:pPr>
              <w:spacing w:after="0"/>
              <w:rPr>
                <w:rFonts w:ascii="Calibri" w:hAnsi="Calibri" w:cs="Times New Roman"/>
                <w:color w:val="000000"/>
                <w:lang w:eastAsia="en-GB"/>
              </w:rPr>
            </w:pPr>
          </w:p>
        </w:tc>
        <w:tc>
          <w:tcPr>
            <w:tcW w:w="421" w:type="dxa"/>
            <w:tcBorders>
              <w:top w:val="single" w:sz="12" w:space="0" w:color="000000" w:themeColor="text1"/>
              <w:left w:val="single" w:sz="2" w:space="0" w:color="A6A6A6" w:themeColor="background1" w:themeShade="A6"/>
              <w:bottom w:val="single" w:sz="2" w:space="0" w:color="A6A6A6" w:themeColor="background1" w:themeShade="A6"/>
              <w:right w:val="single" w:sz="12" w:space="0" w:color="auto"/>
            </w:tcBorders>
            <w:shd w:val="diagStripe" w:color="auto" w:fill="auto"/>
            <w:noWrap/>
            <w:vAlign w:val="bottom"/>
            <w:hideMark/>
          </w:tcPr>
          <w:p w:rsidR="00C627DF" w:rsidRPr="00B33A51" w:rsidRDefault="00C627DF" w:rsidP="009F411B">
            <w:pPr>
              <w:spacing w:after="0"/>
              <w:rPr>
                <w:rFonts w:ascii="Calibri" w:hAnsi="Calibri" w:cs="Times New Roman"/>
                <w:color w:val="000000"/>
                <w:lang w:eastAsia="en-GB"/>
              </w:rPr>
            </w:pPr>
          </w:p>
        </w:tc>
      </w:tr>
      <w:tr w:rsidR="00C627DF" w:rsidRPr="003B03A5" w:rsidTr="009F411B">
        <w:trPr>
          <w:trHeight w:val="300"/>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FFFFFF"/>
            <w:vAlign w:val="center"/>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Dépenses quasi-fiscales des entreprises d’État (#6.2)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C627DF" w:rsidRDefault="00C627DF" w:rsidP="009F411B">
            <w:pPr>
              <w:spacing w:after="0"/>
              <w:rPr>
                <w:rFonts w:ascii="Calibri" w:hAnsi="Calibri" w:cs="Times New Roman"/>
                <w:color w:val="000000"/>
                <w:lang w:val="fr-CA"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AC433"/>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C627DF" w:rsidRDefault="00C627DF" w:rsidP="009F411B">
            <w:pPr>
              <w:spacing w:after="0"/>
              <w:rPr>
                <w:rFonts w:ascii="Calibri" w:hAnsi="Calibri" w:cs="Times New Roman"/>
                <w:color w:val="000000"/>
                <w:lang w:val="fr-CA" w:eastAsia="en-GB"/>
              </w:rPr>
            </w:pPr>
            <w:r w:rsidRPr="00C627DF">
              <w:rPr>
                <w:rFonts w:ascii="Calibri" w:hAnsi="Calibri" w:cs="Times New Roman"/>
                <w:color w:val="000000"/>
                <w:lang w:val="fr-CA" w:eastAsia="en-GB"/>
              </w:rPr>
              <w:t> </w:t>
            </w:r>
          </w:p>
        </w:tc>
      </w:tr>
      <w:tr w:rsidR="00C627DF" w:rsidRPr="00B33A51" w:rsidTr="009F411B">
        <w:trPr>
          <w:trHeight w:val="300"/>
        </w:trPr>
        <w:tc>
          <w:tcPr>
            <w:tcW w:w="2127" w:type="dxa"/>
            <w:vMerge/>
            <w:tcBorders>
              <w:top w:val="single" w:sz="2" w:space="0" w:color="A6A6A6" w:themeColor="background1" w:themeShade="A6"/>
              <w:left w:val="single" w:sz="12" w:space="0" w:color="auto"/>
              <w:bottom w:val="single" w:sz="12" w:space="0" w:color="auto"/>
              <w:right w:val="single" w:sz="2" w:space="0" w:color="A6A6A6" w:themeColor="background1" w:themeShade="A6"/>
            </w:tcBorders>
            <w:vAlign w:val="center"/>
            <w:hideMark/>
          </w:tcPr>
          <w:p w:rsidR="00C627DF" w:rsidRPr="00C627DF" w:rsidRDefault="00C627DF" w:rsidP="009F411B">
            <w:pPr>
              <w:spacing w:after="0"/>
              <w:rPr>
                <w:rFonts w:ascii="Calibri" w:hAnsi="Calibri" w:cs="Times New Roman"/>
                <w:b/>
                <w:bCs/>
                <w:color w:val="000000"/>
                <w:lang w:val="fr-CA"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000000" w:fill="FFFFFF"/>
            <w:vAlign w:val="center"/>
            <w:hideMark/>
          </w:tcPr>
          <w:p w:rsidR="00C627DF" w:rsidRPr="00B33A51" w:rsidRDefault="00C627DF" w:rsidP="009F411B">
            <w:pPr>
              <w:spacing w:after="0"/>
              <w:rPr>
                <w:rFonts w:ascii="Calibri" w:hAnsi="Calibri" w:cs="Times New Roman"/>
                <w:color w:val="000000"/>
                <w:lang w:eastAsia="en-GB"/>
              </w:rPr>
            </w:pPr>
            <w:r>
              <w:rPr>
                <w:rFonts w:ascii="Calibri" w:hAnsi="Calibri" w:cs="Times New Roman"/>
                <w:color w:val="000000"/>
                <w:lang w:eastAsia="en-GB"/>
              </w:rPr>
              <w:t xml:space="preserve">Contribution </w:t>
            </w:r>
            <w:proofErr w:type="spellStart"/>
            <w:r>
              <w:rPr>
                <w:rFonts w:ascii="Calibri" w:hAnsi="Calibri" w:cs="Times New Roman"/>
                <w:color w:val="000000"/>
                <w:lang w:eastAsia="en-GB"/>
              </w:rPr>
              <w:t>économique</w:t>
            </w:r>
            <w:proofErr w:type="spellEnd"/>
            <w:r w:rsidRPr="00B33A51">
              <w:rPr>
                <w:rFonts w:ascii="Calibri" w:hAnsi="Calibri" w:cs="Times New Roman"/>
                <w:color w:val="000000"/>
                <w:lang w:eastAsia="en-GB"/>
              </w:rPr>
              <w:t xml:space="preserve"> (#6.3)</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12" w:space="0" w:color="auto"/>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300"/>
        </w:trPr>
        <w:tc>
          <w:tcPr>
            <w:tcW w:w="2127" w:type="dxa"/>
            <w:vMerge w:val="restart"/>
            <w:tcBorders>
              <w:top w:val="single" w:sz="12" w:space="0" w:color="auto"/>
              <w:left w:val="single" w:sz="12" w:space="0" w:color="auto"/>
              <w:bottom w:val="single" w:sz="2" w:space="0" w:color="A6A6A6" w:themeColor="background1" w:themeShade="A6"/>
              <w:right w:val="single" w:sz="2" w:space="0" w:color="A6A6A6" w:themeColor="background1" w:themeShade="A6"/>
            </w:tcBorders>
            <w:shd w:val="clear" w:color="000000" w:fill="BFBFBF"/>
            <w:noWrap/>
            <w:vAlign w:val="center"/>
            <w:hideMark/>
          </w:tcPr>
          <w:p w:rsidR="00C627DF" w:rsidRPr="00B33A51" w:rsidRDefault="00C627DF" w:rsidP="009F411B">
            <w:pPr>
              <w:spacing w:after="0"/>
              <w:rPr>
                <w:rFonts w:ascii="Calibri" w:hAnsi="Calibri" w:cs="Times New Roman"/>
                <w:b/>
                <w:bCs/>
                <w:color w:val="000000"/>
                <w:lang w:eastAsia="en-GB"/>
              </w:rPr>
            </w:pPr>
            <w:proofErr w:type="spellStart"/>
            <w:r>
              <w:rPr>
                <w:rFonts w:ascii="Calibri" w:hAnsi="Calibri" w:cs="Times New Roman"/>
                <w:b/>
                <w:bCs/>
                <w:color w:val="000000"/>
                <w:lang w:eastAsia="en-GB"/>
              </w:rPr>
              <w:t>Résultats</w:t>
            </w:r>
            <w:proofErr w:type="spellEnd"/>
            <w:r>
              <w:rPr>
                <w:rFonts w:ascii="Calibri" w:hAnsi="Calibri" w:cs="Times New Roman"/>
                <w:b/>
                <w:bCs/>
                <w:color w:val="000000"/>
                <w:lang w:eastAsia="en-GB"/>
              </w:rPr>
              <w:t xml:space="preserve"> et impact</w:t>
            </w:r>
          </w:p>
        </w:tc>
        <w:tc>
          <w:tcPr>
            <w:tcW w:w="4535" w:type="dxa"/>
            <w:gridSpan w:val="4"/>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Débat</w:t>
            </w:r>
            <w:proofErr w:type="spellEnd"/>
            <w:r>
              <w:rPr>
                <w:rFonts w:ascii="Calibri" w:hAnsi="Calibri" w:cs="Times New Roman"/>
                <w:color w:val="000000"/>
                <w:lang w:eastAsia="en-GB"/>
              </w:rPr>
              <w:t xml:space="preserve"> public</w:t>
            </w:r>
            <w:r w:rsidRPr="00B33A51">
              <w:rPr>
                <w:rFonts w:ascii="Calibri" w:hAnsi="Calibri" w:cs="Times New Roman"/>
                <w:color w:val="000000"/>
                <w:lang w:eastAsia="en-GB"/>
              </w:rPr>
              <w:t xml:space="preserve"> (#7.1)</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tcPr>
          <w:p w:rsidR="00C627DF" w:rsidRPr="00B33A51" w:rsidRDefault="00C627DF" w:rsidP="009F411B">
            <w:pPr>
              <w:spacing w:after="0"/>
              <w:rPr>
                <w:rFonts w:ascii="Calibri" w:hAnsi="Calibri" w:cs="Times New Roman"/>
                <w:color w:val="000000"/>
                <w:lang w:eastAsia="en-GB"/>
              </w:rPr>
            </w:pPr>
          </w:p>
        </w:tc>
        <w:tc>
          <w:tcPr>
            <w:tcW w:w="532"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84AE44"/>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12" w:space="0" w:color="auto"/>
              <w:left w:val="single" w:sz="2" w:space="0" w:color="A6A6A6" w:themeColor="background1" w:themeShade="A6"/>
              <w:bottom w:val="single" w:sz="2" w:space="0" w:color="A6A6A6" w:themeColor="background1" w:themeShade="A6"/>
              <w:right w:val="single" w:sz="12" w:space="0" w:color="auto"/>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282"/>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Accessibilité</w:t>
            </w:r>
            <w:proofErr w:type="spellEnd"/>
            <w:r>
              <w:rPr>
                <w:rFonts w:ascii="Calibri" w:hAnsi="Calibri" w:cs="Times New Roman"/>
                <w:color w:val="000000"/>
                <w:lang w:eastAsia="en-GB"/>
              </w:rPr>
              <w:t xml:space="preserve"> des </w:t>
            </w:r>
            <w:proofErr w:type="spellStart"/>
            <w:r>
              <w:rPr>
                <w:rFonts w:ascii="Calibri" w:hAnsi="Calibri" w:cs="Times New Roman"/>
                <w:color w:val="000000"/>
                <w:lang w:eastAsia="en-GB"/>
              </w:rPr>
              <w:t>données</w:t>
            </w:r>
            <w:proofErr w:type="spellEnd"/>
            <w:r w:rsidRPr="00B33A51">
              <w:rPr>
                <w:rFonts w:ascii="Calibri" w:hAnsi="Calibri" w:cs="Times New Roman"/>
                <w:color w:val="000000"/>
                <w:lang w:eastAsia="en-GB"/>
              </w:rPr>
              <w:t xml:space="preserve"> (#7.2)</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000000" w:fill="D9D9D9"/>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000000" w:fill="D9D9D9"/>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B33A51" w:rsidTr="009F411B">
        <w:trPr>
          <w:trHeight w:val="300"/>
        </w:trPr>
        <w:tc>
          <w:tcPr>
            <w:tcW w:w="2127" w:type="dxa"/>
            <w:vMerge/>
            <w:tcBorders>
              <w:top w:val="single" w:sz="2" w:space="0" w:color="A6A6A6" w:themeColor="background1" w:themeShade="A6"/>
              <w:left w:val="single" w:sz="12" w:space="0" w:color="auto"/>
              <w:bottom w:val="single" w:sz="2" w:space="0" w:color="A6A6A6" w:themeColor="background1" w:themeShade="A6"/>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bottom"/>
            <w:hideMark/>
          </w:tcPr>
          <w:p w:rsidR="00C627DF" w:rsidRPr="00B33A51" w:rsidRDefault="00C627DF" w:rsidP="009F411B">
            <w:pPr>
              <w:spacing w:after="0"/>
              <w:rPr>
                <w:rFonts w:ascii="Calibri" w:hAnsi="Calibri" w:cs="Times New Roman"/>
                <w:color w:val="000000"/>
                <w:lang w:eastAsia="en-GB"/>
              </w:rPr>
            </w:pPr>
            <w:proofErr w:type="spellStart"/>
            <w:r>
              <w:rPr>
                <w:rFonts w:ascii="Calibri" w:hAnsi="Calibri" w:cs="Times New Roman"/>
                <w:color w:val="000000"/>
                <w:lang w:eastAsia="en-GB"/>
              </w:rPr>
              <w:t>Suivi</w:t>
            </w:r>
            <w:proofErr w:type="spellEnd"/>
            <w:r>
              <w:rPr>
                <w:rFonts w:ascii="Calibri" w:hAnsi="Calibri" w:cs="Times New Roman"/>
                <w:color w:val="000000"/>
                <w:lang w:eastAsia="en-GB"/>
              </w:rPr>
              <w:t xml:space="preserve"> des </w:t>
            </w:r>
            <w:proofErr w:type="spellStart"/>
            <w:r>
              <w:rPr>
                <w:rFonts w:ascii="Calibri" w:hAnsi="Calibri" w:cs="Times New Roman"/>
                <w:color w:val="000000"/>
                <w:lang w:eastAsia="en-GB"/>
              </w:rPr>
              <w:t>recommandations</w:t>
            </w:r>
            <w:proofErr w:type="spellEnd"/>
            <w:r w:rsidRPr="00B33A51">
              <w:rPr>
                <w:rFonts w:ascii="Calibri" w:hAnsi="Calibri" w:cs="Times New Roman"/>
                <w:color w:val="000000"/>
                <w:lang w:eastAsia="en-GB"/>
              </w:rPr>
              <w:t xml:space="preserve"> (#7.3)</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rsidR="00C627DF" w:rsidRPr="00B33A51" w:rsidRDefault="00C627DF" w:rsidP="009F411B">
            <w:pPr>
              <w:spacing w:after="0"/>
              <w:rPr>
                <w:rFonts w:ascii="Calibri" w:hAnsi="Calibri" w:cs="Times New Roman"/>
                <w:color w:val="000000"/>
                <w:lang w:eastAsia="en-GB"/>
              </w:rPr>
            </w:pPr>
          </w:p>
        </w:tc>
        <w:tc>
          <w:tcPr>
            <w:tcW w:w="5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9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7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D8B2A"/>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c>
          <w:tcPr>
            <w:tcW w:w="4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uto"/>
            </w:tcBorders>
            <w:shd w:val="clear" w:color="auto" w:fill="FFFFFF" w:themeFill="background1"/>
            <w:noWrap/>
            <w:vAlign w:val="bottom"/>
            <w:hideMark/>
          </w:tcPr>
          <w:p w:rsidR="00C627DF" w:rsidRPr="00B33A51" w:rsidRDefault="00C627DF" w:rsidP="009F411B">
            <w:pPr>
              <w:spacing w:after="0"/>
              <w:rPr>
                <w:rFonts w:ascii="Calibri" w:hAnsi="Calibri" w:cs="Times New Roman"/>
                <w:color w:val="000000"/>
                <w:lang w:eastAsia="en-GB"/>
              </w:rPr>
            </w:pPr>
            <w:r w:rsidRPr="00B33A51">
              <w:rPr>
                <w:rFonts w:ascii="Calibri" w:hAnsi="Calibri" w:cs="Times New Roman"/>
                <w:color w:val="000000"/>
                <w:lang w:eastAsia="en-GB"/>
              </w:rPr>
              <w:t> </w:t>
            </w:r>
          </w:p>
        </w:tc>
      </w:tr>
      <w:tr w:rsidR="00C627DF" w:rsidRPr="003B03A5" w:rsidTr="009F411B">
        <w:trPr>
          <w:trHeight w:val="300"/>
        </w:trPr>
        <w:tc>
          <w:tcPr>
            <w:tcW w:w="2127" w:type="dxa"/>
            <w:vMerge/>
            <w:tcBorders>
              <w:top w:val="single" w:sz="2" w:space="0" w:color="A6A6A6" w:themeColor="background1" w:themeShade="A6"/>
              <w:left w:val="single" w:sz="12" w:space="0" w:color="auto"/>
              <w:bottom w:val="single" w:sz="12" w:space="0" w:color="auto"/>
              <w:right w:val="single" w:sz="2" w:space="0" w:color="A6A6A6" w:themeColor="background1" w:themeShade="A6"/>
            </w:tcBorders>
            <w:vAlign w:val="center"/>
            <w:hideMark/>
          </w:tcPr>
          <w:p w:rsidR="00C627DF" w:rsidRPr="00B33A51" w:rsidRDefault="00C627DF" w:rsidP="009F411B">
            <w:pPr>
              <w:spacing w:after="0"/>
              <w:rPr>
                <w:rFonts w:ascii="Calibri" w:hAnsi="Calibri" w:cs="Times New Roman"/>
                <w:b/>
                <w:bCs/>
                <w:color w:val="000000"/>
                <w:lang w:eastAsia="en-GB"/>
              </w:rPr>
            </w:pPr>
          </w:p>
        </w:tc>
        <w:tc>
          <w:tcPr>
            <w:tcW w:w="4535" w:type="dxa"/>
            <w:gridSpan w:val="4"/>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rsidR="00C627DF" w:rsidRPr="00AF5250" w:rsidRDefault="00C627DF" w:rsidP="009F411B">
            <w:pPr>
              <w:spacing w:after="0"/>
              <w:rPr>
                <w:rFonts w:ascii="Calibri" w:hAnsi="Calibri" w:cs="Times New Roman"/>
                <w:color w:val="000000"/>
                <w:lang w:val="nb-NO" w:eastAsia="en-GB"/>
              </w:rPr>
            </w:pPr>
            <w:r w:rsidRPr="00C627DF">
              <w:rPr>
                <w:rFonts w:ascii="Calibri" w:hAnsi="Calibri" w:cs="Times New Roman"/>
                <w:color w:val="000000"/>
                <w:lang w:val="fr-CA" w:eastAsia="en-GB"/>
              </w:rPr>
              <w:t>Résultats et impact de la mise en œuvre (#7.4</w:t>
            </w:r>
            <w:r w:rsidRPr="00AF5250">
              <w:rPr>
                <w:rFonts w:ascii="Calibri" w:hAnsi="Calibri" w:cs="Times New Roman"/>
                <w:color w:val="000000"/>
                <w:lang w:val="nb-NO" w:eastAsia="en-GB"/>
              </w:rPr>
              <w:t>)</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tcPr>
          <w:p w:rsidR="00C627DF" w:rsidRPr="00AF5250" w:rsidRDefault="00C627DF" w:rsidP="009F411B">
            <w:pPr>
              <w:spacing w:after="0"/>
              <w:rPr>
                <w:rFonts w:ascii="Calibri" w:hAnsi="Calibri" w:cs="Times New Roman"/>
                <w:color w:val="000000"/>
                <w:lang w:val="nb-NO" w:eastAsia="en-GB"/>
              </w:rPr>
            </w:pPr>
          </w:p>
        </w:tc>
        <w:tc>
          <w:tcPr>
            <w:tcW w:w="532"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rsidR="00C627DF" w:rsidRPr="00AF5250" w:rsidRDefault="00C627DF" w:rsidP="009F411B">
            <w:pPr>
              <w:spacing w:after="0"/>
              <w:rPr>
                <w:rFonts w:ascii="Calibri" w:hAnsi="Calibri" w:cs="Times New Roman"/>
                <w:color w:val="000000"/>
                <w:lang w:val="nb-NO" w:eastAsia="en-GB"/>
              </w:rPr>
            </w:pPr>
            <w:r w:rsidRPr="00AF5250">
              <w:rPr>
                <w:rFonts w:ascii="Calibri" w:hAnsi="Calibri" w:cs="Times New Roman"/>
                <w:color w:val="000000"/>
                <w:lang w:val="nb-NO" w:eastAsia="en-GB"/>
              </w:rPr>
              <w:t> </w:t>
            </w:r>
          </w:p>
        </w:tc>
        <w:tc>
          <w:tcPr>
            <w:tcW w:w="49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auto"/>
            <w:noWrap/>
            <w:vAlign w:val="bottom"/>
            <w:hideMark/>
          </w:tcPr>
          <w:p w:rsidR="00C627DF" w:rsidRPr="00AF5250" w:rsidRDefault="00C627DF" w:rsidP="009F411B">
            <w:pPr>
              <w:spacing w:after="0"/>
              <w:rPr>
                <w:rFonts w:ascii="Calibri" w:hAnsi="Calibri" w:cs="Times New Roman"/>
                <w:color w:val="000000"/>
                <w:lang w:val="nb-NO" w:eastAsia="en-GB"/>
              </w:rPr>
            </w:pPr>
            <w:r w:rsidRPr="00AF5250">
              <w:rPr>
                <w:rFonts w:ascii="Calibri" w:hAnsi="Calibri" w:cs="Times New Roman"/>
                <w:color w:val="000000"/>
                <w:lang w:val="nb-NO" w:eastAsia="en-GB"/>
              </w:rPr>
              <w:t> </w:t>
            </w:r>
          </w:p>
        </w:tc>
        <w:tc>
          <w:tcPr>
            <w:tcW w:w="470"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shd w:val="clear" w:color="auto" w:fill="2D8B2A"/>
            <w:noWrap/>
            <w:vAlign w:val="bottom"/>
            <w:hideMark/>
          </w:tcPr>
          <w:p w:rsidR="00C627DF" w:rsidRPr="00AF5250" w:rsidRDefault="00C627DF" w:rsidP="009F411B">
            <w:pPr>
              <w:spacing w:after="0"/>
              <w:rPr>
                <w:rFonts w:ascii="Calibri" w:hAnsi="Calibri" w:cs="Times New Roman"/>
                <w:color w:val="000000"/>
                <w:lang w:val="nb-NO" w:eastAsia="en-GB"/>
              </w:rPr>
            </w:pPr>
            <w:r w:rsidRPr="00AF5250">
              <w:rPr>
                <w:rFonts w:ascii="Calibri" w:hAnsi="Calibri" w:cs="Times New Roman"/>
                <w:color w:val="000000"/>
                <w:lang w:val="nb-NO" w:eastAsia="en-GB"/>
              </w:rPr>
              <w:t> </w:t>
            </w:r>
          </w:p>
        </w:tc>
        <w:tc>
          <w:tcPr>
            <w:tcW w:w="421" w:type="dxa"/>
            <w:tcBorders>
              <w:top w:val="single" w:sz="2" w:space="0" w:color="A6A6A6" w:themeColor="background1" w:themeShade="A6"/>
              <w:left w:val="single" w:sz="2" w:space="0" w:color="A6A6A6" w:themeColor="background1" w:themeShade="A6"/>
              <w:bottom w:val="single" w:sz="12" w:space="0" w:color="auto"/>
              <w:right w:val="single" w:sz="12" w:space="0" w:color="auto"/>
            </w:tcBorders>
            <w:shd w:val="clear" w:color="auto" w:fill="auto"/>
            <w:noWrap/>
            <w:vAlign w:val="bottom"/>
            <w:hideMark/>
          </w:tcPr>
          <w:p w:rsidR="00C627DF" w:rsidRPr="00AF5250" w:rsidRDefault="00C627DF" w:rsidP="009F411B">
            <w:pPr>
              <w:spacing w:after="0"/>
              <w:rPr>
                <w:rFonts w:ascii="Calibri" w:hAnsi="Calibri" w:cs="Times New Roman"/>
                <w:color w:val="000000"/>
                <w:lang w:val="nb-NO" w:eastAsia="en-GB"/>
              </w:rPr>
            </w:pPr>
            <w:r w:rsidRPr="00AF5250">
              <w:rPr>
                <w:rFonts w:ascii="Calibri" w:hAnsi="Calibri" w:cs="Times New Roman"/>
                <w:color w:val="000000"/>
                <w:lang w:val="nb-NO" w:eastAsia="en-GB"/>
              </w:rPr>
              <w:t> </w:t>
            </w:r>
          </w:p>
        </w:tc>
      </w:tr>
    </w:tbl>
    <w:bookmarkEnd w:id="4"/>
    <w:p w:rsidR="00C627DF" w:rsidRPr="00C627DF" w:rsidRDefault="00C627DF" w:rsidP="00C627DF">
      <w:pPr>
        <w:widowControl w:val="0"/>
        <w:suppressAutoHyphens/>
        <w:spacing w:after="360" w:line="264" w:lineRule="auto"/>
        <w:jc w:val="both"/>
        <w:rPr>
          <w:rFonts w:ascii="Arial" w:hAnsi="Arial"/>
          <w:sz w:val="24"/>
          <w:lang w:val="fr-CA"/>
        </w:rPr>
      </w:pPr>
      <w:r w:rsidRPr="00C627DF">
        <w:rPr>
          <w:rFonts w:ascii="Arial" w:hAnsi="Arial"/>
          <w:color w:val="000000" w:themeColor="text1"/>
          <w:sz w:val="24"/>
          <w:lang w:val="fr-CA"/>
        </w:rPr>
        <w:t xml:space="preserve">La mise en œuvre de l’ITIE au Tchad comme énoncée au sommaire pour justifier le retard de l’élaboration de ce rapport à l’échéance, s’est déroulée dans un contexte </w:t>
      </w:r>
      <w:r w:rsidRPr="00C627DF">
        <w:rPr>
          <w:rFonts w:ascii="Arial" w:eastAsiaTheme="minorHAnsi" w:hAnsi="Arial"/>
          <w:color w:val="000000"/>
          <w:sz w:val="24"/>
          <w:lang w:val="fr-CA"/>
        </w:rPr>
        <w:t>économique, sectoriel et réglementaire compte</w:t>
      </w:r>
      <w:r w:rsidRPr="00C627DF">
        <w:rPr>
          <w:rFonts w:ascii="Arial" w:hAnsi="Arial"/>
          <w:color w:val="FF0000"/>
          <w:sz w:val="24"/>
          <w:lang w:val="fr-CA"/>
        </w:rPr>
        <w:t xml:space="preserve"> </w:t>
      </w:r>
      <w:r w:rsidRPr="00C627DF">
        <w:rPr>
          <w:rFonts w:ascii="Arial" w:hAnsi="Arial"/>
          <w:sz w:val="24"/>
          <w:lang w:val="fr-CA"/>
        </w:rPr>
        <w:t xml:space="preserve">tenu de la situation générale du pays marquée par une triple crise notamment, la crise sanitaire induite par la pandémie de COVID-19, la baisse des prix pétroliers et la crise sécuritaire liée à </w:t>
      </w:r>
      <w:proofErr w:type="spellStart"/>
      <w:r w:rsidRPr="00C627DF">
        <w:rPr>
          <w:rFonts w:ascii="Arial" w:hAnsi="Arial"/>
          <w:sz w:val="24"/>
          <w:lang w:val="fr-CA"/>
        </w:rPr>
        <w:t>Boko</w:t>
      </w:r>
      <w:proofErr w:type="spellEnd"/>
      <w:r w:rsidRPr="00C627DF">
        <w:rPr>
          <w:rFonts w:ascii="Arial" w:hAnsi="Arial"/>
          <w:sz w:val="24"/>
          <w:lang w:val="fr-CA"/>
        </w:rPr>
        <w:t xml:space="preserve"> </w:t>
      </w:r>
      <w:proofErr w:type="spellStart"/>
      <w:r w:rsidRPr="00C627DF">
        <w:rPr>
          <w:rFonts w:ascii="Arial" w:hAnsi="Arial"/>
          <w:sz w:val="24"/>
          <w:lang w:val="fr-CA"/>
        </w:rPr>
        <w:t>Hararam</w:t>
      </w:r>
      <w:proofErr w:type="spellEnd"/>
      <w:r w:rsidRPr="00C627DF">
        <w:rPr>
          <w:rFonts w:ascii="Arial" w:hAnsi="Arial"/>
          <w:sz w:val="24"/>
          <w:lang w:val="fr-CA"/>
        </w:rPr>
        <w:t>.</w:t>
      </w:r>
    </w:p>
    <w:p w:rsidR="00C627DF" w:rsidRPr="00C627DF" w:rsidRDefault="00C627DF" w:rsidP="00C627DF">
      <w:pPr>
        <w:widowControl w:val="0"/>
        <w:suppressAutoHyphens/>
        <w:spacing w:after="360" w:line="264" w:lineRule="auto"/>
        <w:jc w:val="both"/>
        <w:rPr>
          <w:rFonts w:ascii="Arial" w:hAnsi="Arial"/>
          <w:b/>
          <w:sz w:val="18"/>
          <w:szCs w:val="18"/>
          <w:u w:val="single"/>
          <w:lang w:val="fr-CA"/>
        </w:rPr>
      </w:pPr>
      <w:r w:rsidRPr="00C627DF">
        <w:rPr>
          <w:rFonts w:ascii="Arial" w:hAnsi="Arial"/>
          <w:b/>
          <w:sz w:val="18"/>
          <w:szCs w:val="18"/>
          <w:u w:val="single"/>
          <w:lang w:val="fr-CA"/>
        </w:rPr>
        <w:lastRenderedPageBreak/>
        <w:t xml:space="preserve">Figure 2 </w:t>
      </w:r>
      <w:r w:rsidRPr="00C627DF">
        <w:rPr>
          <w:rFonts w:ascii="Arial" w:hAnsi="Arial"/>
          <w:sz w:val="24"/>
          <w:lang w:val="fr-CA"/>
        </w:rPr>
        <w:t>.</w:t>
      </w:r>
      <w:r w:rsidRPr="00C627DF">
        <w:rPr>
          <w:rFonts w:ascii="Arial" w:hAnsi="Arial"/>
          <w:b/>
          <w:sz w:val="18"/>
          <w:szCs w:val="18"/>
          <w:u w:val="single"/>
          <w:lang w:val="fr-CA"/>
        </w:rPr>
        <w:t xml:space="preserve">Schéma détaillant l’historique d’ITIE-TCHAD </w:t>
      </w:r>
    </w:p>
    <w:p w:rsidR="00C627DF" w:rsidRPr="00C627DF" w:rsidRDefault="00C627DF" w:rsidP="00C627DF">
      <w:pPr>
        <w:widowControl w:val="0"/>
        <w:suppressAutoHyphens/>
        <w:spacing w:after="360" w:line="264" w:lineRule="auto"/>
        <w:jc w:val="both"/>
        <w:rPr>
          <w:rFonts w:ascii="Arial" w:hAnsi="Arial"/>
          <w:sz w:val="24"/>
          <w:lang w:val="fr-CA"/>
        </w:rPr>
      </w:pPr>
    </w:p>
    <w:p w:rsidR="00C627DF" w:rsidRDefault="00C627DF" w:rsidP="00C627DF">
      <w:pPr>
        <w:widowControl w:val="0"/>
        <w:suppressAutoHyphens/>
        <w:spacing w:after="360" w:line="264" w:lineRule="auto"/>
        <w:jc w:val="both"/>
        <w:rPr>
          <w:rFonts w:ascii="Arial" w:hAnsi="Arial"/>
          <w:color w:val="000000" w:themeColor="text1"/>
          <w:sz w:val="24"/>
        </w:rPr>
      </w:pPr>
      <w:r w:rsidRPr="00635D9A">
        <w:rPr>
          <w:rFonts w:ascii="Arial" w:hAnsi="Arial"/>
          <w:noProof/>
          <w:color w:val="000000" w:themeColor="text1"/>
          <w:sz w:val="24"/>
          <w:lang w:val="fr-CA" w:eastAsia="fr-CA"/>
        </w:rPr>
        <w:drawing>
          <wp:inline distT="0" distB="0" distL="0" distR="0" wp14:anchorId="6E587203" wp14:editId="521AC6F6">
            <wp:extent cx="5676900" cy="2905125"/>
            <wp:effectExtent l="0" t="0" r="0" b="9525"/>
            <wp:docPr id="7" name="Image 7" descr="C:\Users\LENOVO\Pictures\Capture d’écran 2021-02-01 114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Capture d’écran 2021-02-01 11465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2905125"/>
                    </a:xfrm>
                    <a:prstGeom prst="rect">
                      <a:avLst/>
                    </a:prstGeom>
                    <a:noFill/>
                    <a:ln>
                      <a:noFill/>
                    </a:ln>
                  </pic:spPr>
                </pic:pic>
              </a:graphicData>
            </a:graphic>
          </wp:inline>
        </w:drawing>
      </w:r>
    </w:p>
    <w:p w:rsidR="00C627DF" w:rsidRPr="00AF5728" w:rsidRDefault="00C627DF" w:rsidP="00C627DF">
      <w:pPr>
        <w:widowControl w:val="0"/>
        <w:suppressAutoHyphens/>
        <w:spacing w:after="360" w:line="264" w:lineRule="auto"/>
        <w:jc w:val="both"/>
        <w:rPr>
          <w:rFonts w:ascii="Arial" w:hAnsi="Arial"/>
          <w:color w:val="000000" w:themeColor="text1"/>
          <w:sz w:val="24"/>
        </w:rPr>
      </w:pPr>
    </w:p>
    <w:p w:rsidR="00C627DF" w:rsidRDefault="00C627DF"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627DF" w:rsidRDefault="00C627DF"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627DF" w:rsidRDefault="00C627DF"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627DF" w:rsidRDefault="00C627DF"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627DF" w:rsidRDefault="00C627DF"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627DF" w:rsidRDefault="00C627DF"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627DF" w:rsidRDefault="00C627DF"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9F411B" w:rsidRDefault="009F411B"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9F411B" w:rsidRDefault="009F411B"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9F411B" w:rsidRDefault="009F411B"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9F411B" w:rsidRDefault="009F411B"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9F411B" w:rsidRDefault="009F411B"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35804" w:rsidRPr="00C06FE6" w:rsidRDefault="00C35804" w:rsidP="00C627D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themeColor="text1"/>
          <w:sz w:val="24"/>
          <w:szCs w:val="24"/>
          <w:lang w:val="fr-FR"/>
        </w:rPr>
      </w:pPr>
    </w:p>
    <w:p w:rsidR="00C627DF" w:rsidRPr="00BD597D" w:rsidRDefault="00C627DF" w:rsidP="00BD597D">
      <w:pPr>
        <w:pStyle w:val="Paragraphedeliste"/>
        <w:numPr>
          <w:ilvl w:val="0"/>
          <w:numId w:val="2"/>
        </w:numPr>
        <w:spacing w:before="0" w:after="200" w:line="276" w:lineRule="auto"/>
        <w:contextualSpacing/>
        <w:jc w:val="both"/>
        <w:rPr>
          <w:color w:val="000000" w:themeColor="text1"/>
          <w:sz w:val="32"/>
          <w:szCs w:val="32"/>
          <w:u w:val="single"/>
          <w:lang w:val="fr-CA"/>
        </w:rPr>
      </w:pPr>
      <w:r w:rsidRPr="00C627DF">
        <w:rPr>
          <w:b/>
          <w:color w:val="000000" w:themeColor="text1"/>
          <w:sz w:val="32"/>
          <w:szCs w:val="32"/>
          <w:u w:val="single"/>
          <w:lang w:val="fr-CA"/>
        </w:rPr>
        <w:lastRenderedPageBreak/>
        <w:t>EVALUATION DES PERFORMANCES VIS-A-VIS DES OBJECTIFS ET DES ACTIVITES DEFINIS DANS LE PL</w:t>
      </w:r>
      <w:r w:rsidR="009F411B">
        <w:rPr>
          <w:b/>
          <w:color w:val="000000" w:themeColor="text1"/>
          <w:sz w:val="32"/>
          <w:szCs w:val="32"/>
          <w:u w:val="single"/>
          <w:lang w:val="fr-CA"/>
        </w:rPr>
        <w:t xml:space="preserve">AN TRIENNAL DE TRAVAIL </w:t>
      </w:r>
    </w:p>
    <w:p w:rsidR="00C627DF" w:rsidRDefault="00C627DF" w:rsidP="00AA6B43">
      <w:pPr>
        <w:autoSpaceDE w:val="0"/>
        <w:autoSpaceDN w:val="0"/>
        <w:adjustRightInd w:val="0"/>
        <w:spacing w:after="0"/>
        <w:jc w:val="both"/>
        <w:rPr>
          <w:rFonts w:ascii="Arial" w:hAnsi="Arial"/>
          <w:sz w:val="24"/>
          <w:lang w:val="fr-CA"/>
        </w:rPr>
      </w:pPr>
      <w:r w:rsidRPr="00C627DF">
        <w:rPr>
          <w:rFonts w:ascii="Arial" w:hAnsi="Arial"/>
          <w:sz w:val="24"/>
          <w:lang w:val="fr-CA"/>
        </w:rPr>
        <w:t>Le Haut Comité Nati</w:t>
      </w:r>
      <w:r w:rsidR="009F411B">
        <w:rPr>
          <w:rFonts w:ascii="Arial" w:hAnsi="Arial"/>
          <w:sz w:val="24"/>
          <w:lang w:val="fr-CA"/>
        </w:rPr>
        <w:t xml:space="preserve">onal a élaboré, un Plan de Travail Triennal </w:t>
      </w:r>
      <w:r w:rsidRPr="00C627DF">
        <w:rPr>
          <w:rFonts w:ascii="Arial" w:hAnsi="Arial"/>
          <w:b/>
          <w:sz w:val="24"/>
          <w:lang w:val="fr-CA"/>
        </w:rPr>
        <w:t xml:space="preserve">2018- </w:t>
      </w:r>
      <w:r w:rsidR="009F411B">
        <w:rPr>
          <w:rFonts w:ascii="Arial" w:hAnsi="Arial"/>
          <w:b/>
          <w:sz w:val="24"/>
          <w:lang w:val="fr-CA"/>
        </w:rPr>
        <w:t>2020</w:t>
      </w:r>
      <w:proofErr w:type="gramStart"/>
      <w:r w:rsidR="009F411B">
        <w:rPr>
          <w:rFonts w:ascii="Arial" w:hAnsi="Arial"/>
          <w:b/>
          <w:sz w:val="24"/>
          <w:lang w:val="fr-CA"/>
        </w:rPr>
        <w:t xml:space="preserve">,  </w:t>
      </w:r>
      <w:r w:rsidR="009F411B">
        <w:rPr>
          <w:rFonts w:ascii="Arial" w:hAnsi="Arial"/>
          <w:sz w:val="24"/>
          <w:lang w:val="fr-CA"/>
        </w:rPr>
        <w:t>u</w:t>
      </w:r>
      <w:r w:rsidR="009F411B" w:rsidRPr="009F411B">
        <w:rPr>
          <w:rFonts w:ascii="Arial" w:hAnsi="Arial"/>
          <w:sz w:val="24"/>
          <w:lang w:val="fr-CA"/>
        </w:rPr>
        <w:t>n</w:t>
      </w:r>
      <w:proofErr w:type="gramEnd"/>
      <w:r w:rsidR="009F411B" w:rsidRPr="009F411B">
        <w:rPr>
          <w:rFonts w:ascii="Arial" w:hAnsi="Arial"/>
          <w:sz w:val="24"/>
          <w:lang w:val="fr-CA"/>
        </w:rPr>
        <w:t xml:space="preserve"> PTA annuel </w:t>
      </w:r>
      <w:r w:rsidR="009F411B" w:rsidRPr="009F411B">
        <w:rPr>
          <w:rFonts w:ascii="Arial" w:hAnsi="Arial"/>
          <w:b/>
          <w:sz w:val="24"/>
          <w:lang w:val="fr-CA"/>
        </w:rPr>
        <w:t>2021</w:t>
      </w:r>
      <w:r w:rsidR="009F411B">
        <w:rPr>
          <w:rFonts w:ascii="Arial" w:hAnsi="Arial"/>
          <w:b/>
          <w:sz w:val="24"/>
          <w:lang w:val="fr-CA"/>
        </w:rPr>
        <w:t xml:space="preserve"> </w:t>
      </w:r>
      <w:r w:rsidRPr="00C627DF">
        <w:rPr>
          <w:rFonts w:ascii="Arial" w:hAnsi="Arial"/>
          <w:sz w:val="24"/>
          <w:lang w:val="fr-CA"/>
        </w:rPr>
        <w:t xml:space="preserve"> </w:t>
      </w:r>
      <w:r w:rsidR="009F411B">
        <w:rPr>
          <w:rFonts w:ascii="Arial" w:hAnsi="Arial"/>
          <w:sz w:val="24"/>
          <w:lang w:val="fr-CA"/>
        </w:rPr>
        <w:t xml:space="preserve">suivi du PTA </w:t>
      </w:r>
      <w:r w:rsidR="009F411B" w:rsidRPr="009F411B">
        <w:rPr>
          <w:rFonts w:ascii="Arial" w:hAnsi="Arial"/>
          <w:b/>
          <w:sz w:val="24"/>
          <w:lang w:val="fr-CA"/>
        </w:rPr>
        <w:t>2022</w:t>
      </w:r>
      <w:r w:rsidR="009F411B">
        <w:rPr>
          <w:rFonts w:ascii="Arial" w:hAnsi="Arial"/>
          <w:sz w:val="24"/>
          <w:lang w:val="fr-CA"/>
        </w:rPr>
        <w:t xml:space="preserve"> </w:t>
      </w:r>
      <w:r w:rsidR="00AA6B43">
        <w:rPr>
          <w:rFonts w:ascii="Arial" w:hAnsi="Arial"/>
          <w:sz w:val="24"/>
          <w:lang w:val="fr-CA"/>
        </w:rPr>
        <w:t xml:space="preserve">qui vient d’être adopté le 24 Mars 2022, </w:t>
      </w:r>
      <w:r w:rsidRPr="00C627DF">
        <w:rPr>
          <w:rFonts w:ascii="Arial" w:hAnsi="Arial"/>
          <w:sz w:val="24"/>
          <w:lang w:val="fr-CA"/>
        </w:rPr>
        <w:t>en vue de consolider la structure, renforcer la mise en œuvre et amplifier les impacts de l’ITIE au Tchad.</w:t>
      </w:r>
      <w:r w:rsidR="009F411B">
        <w:rPr>
          <w:rFonts w:ascii="Arial" w:hAnsi="Arial"/>
          <w:sz w:val="24"/>
          <w:lang w:val="fr-CA"/>
        </w:rPr>
        <w:t xml:space="preserve"> </w:t>
      </w:r>
      <w:r w:rsidRPr="00C627DF">
        <w:rPr>
          <w:rFonts w:ascii="Arial" w:hAnsi="Arial"/>
          <w:sz w:val="24"/>
          <w:lang w:val="fr-CA"/>
        </w:rPr>
        <w:t xml:space="preserve"> Le</w:t>
      </w:r>
      <w:r w:rsidR="00AA6B43">
        <w:rPr>
          <w:rFonts w:ascii="Arial" w:hAnsi="Arial"/>
          <w:sz w:val="24"/>
          <w:lang w:val="fr-CA"/>
        </w:rPr>
        <w:t>s</w:t>
      </w:r>
      <w:r w:rsidRPr="00C627DF">
        <w:rPr>
          <w:rFonts w:ascii="Arial" w:hAnsi="Arial"/>
          <w:sz w:val="24"/>
          <w:lang w:val="fr-CA"/>
        </w:rPr>
        <w:t>dit</w:t>
      </w:r>
      <w:r w:rsidR="00AA6B43">
        <w:rPr>
          <w:rFonts w:ascii="Arial" w:hAnsi="Arial"/>
          <w:sz w:val="24"/>
          <w:lang w:val="fr-CA"/>
        </w:rPr>
        <w:t>s P</w:t>
      </w:r>
      <w:r w:rsidRPr="00C627DF">
        <w:rPr>
          <w:rFonts w:ascii="Arial" w:hAnsi="Arial"/>
          <w:sz w:val="24"/>
          <w:lang w:val="fr-CA"/>
        </w:rPr>
        <w:t>lan</w:t>
      </w:r>
      <w:r w:rsidR="00AA6B43">
        <w:rPr>
          <w:rFonts w:ascii="Arial" w:hAnsi="Arial"/>
          <w:sz w:val="24"/>
          <w:lang w:val="fr-CA"/>
        </w:rPr>
        <w:t>s de Travail</w:t>
      </w:r>
      <w:r w:rsidRPr="00C627DF">
        <w:rPr>
          <w:rFonts w:ascii="Arial" w:hAnsi="Arial"/>
          <w:sz w:val="24"/>
          <w:lang w:val="fr-CA"/>
        </w:rPr>
        <w:t>, devrait permettre au Tchad de respecter toutes les exigences de la Norme ITIE en général et prépa</w:t>
      </w:r>
      <w:r w:rsidR="00AA6B43">
        <w:rPr>
          <w:rFonts w:ascii="Arial" w:hAnsi="Arial"/>
          <w:sz w:val="24"/>
          <w:lang w:val="fr-CA"/>
        </w:rPr>
        <w:t>rer les prochaines validations.</w:t>
      </w:r>
    </w:p>
    <w:p w:rsidR="00AA6B43" w:rsidRPr="00AA6B43" w:rsidRDefault="00AA6B43" w:rsidP="00AA6B43">
      <w:pPr>
        <w:autoSpaceDE w:val="0"/>
        <w:autoSpaceDN w:val="0"/>
        <w:adjustRightInd w:val="0"/>
        <w:spacing w:after="0"/>
        <w:jc w:val="both"/>
        <w:rPr>
          <w:rFonts w:ascii="Arial" w:hAnsi="Arial"/>
          <w:sz w:val="24"/>
          <w:lang w:val="fr-CA"/>
        </w:rPr>
      </w:pPr>
      <w:r>
        <w:rPr>
          <w:rFonts w:ascii="Arial" w:hAnsi="Arial"/>
          <w:sz w:val="24"/>
          <w:lang w:val="fr-CA"/>
        </w:rPr>
        <w:t>L’Évaluation des performances vis-à-vis des objectifs et activités définis dans le PTA Triennal (2018-2020) conclut que s</w:t>
      </w:r>
      <w:r w:rsidRPr="00C627DF">
        <w:rPr>
          <w:rFonts w:ascii="Arial" w:hAnsi="Arial"/>
          <w:sz w:val="24"/>
          <w:lang w:val="fr-CA"/>
        </w:rPr>
        <w:t>ur soixante –six activités (66), trente –sept(37)</w:t>
      </w:r>
      <w:r>
        <w:rPr>
          <w:rFonts w:ascii="Arial" w:hAnsi="Arial"/>
          <w:sz w:val="24"/>
          <w:lang w:val="fr-CA"/>
        </w:rPr>
        <w:t xml:space="preserve"> sont réalisées, </w:t>
      </w:r>
      <w:r w:rsidRPr="00C627DF">
        <w:rPr>
          <w:rFonts w:ascii="Arial" w:hAnsi="Arial"/>
          <w:sz w:val="24"/>
          <w:lang w:val="fr-CA"/>
        </w:rPr>
        <w:t xml:space="preserve">et sept (07) </w:t>
      </w:r>
      <w:r>
        <w:rPr>
          <w:rFonts w:ascii="Arial" w:hAnsi="Arial"/>
          <w:sz w:val="24"/>
          <w:lang w:val="fr-CA"/>
        </w:rPr>
        <w:t xml:space="preserve">activités </w:t>
      </w:r>
      <w:r w:rsidRPr="00C627DF">
        <w:rPr>
          <w:rFonts w:ascii="Arial" w:hAnsi="Arial"/>
          <w:sz w:val="24"/>
          <w:lang w:val="fr-CA"/>
        </w:rPr>
        <w:t>non réalisées.</w:t>
      </w:r>
    </w:p>
    <w:p w:rsidR="003B03A5" w:rsidRDefault="00C627DF" w:rsidP="00E70B3D">
      <w:pPr>
        <w:spacing w:after="0" w:line="360" w:lineRule="auto"/>
        <w:jc w:val="both"/>
        <w:rPr>
          <w:rFonts w:ascii="Arial" w:hAnsi="Arial"/>
          <w:sz w:val="24"/>
          <w:lang w:val="fr-CA"/>
        </w:rPr>
      </w:pPr>
      <w:r w:rsidRPr="00C627DF">
        <w:rPr>
          <w:rFonts w:ascii="Arial" w:hAnsi="Arial"/>
          <w:b/>
          <w:sz w:val="20"/>
          <w:szCs w:val="20"/>
          <w:lang w:val="fr-CA"/>
        </w:rPr>
        <w:t>Annexe</w:t>
      </w:r>
      <w:r w:rsidRPr="00C627DF">
        <w:rPr>
          <w:rFonts w:ascii="Arial" w:hAnsi="Arial"/>
          <w:sz w:val="20"/>
          <w:szCs w:val="20"/>
          <w:lang w:val="fr-CA"/>
        </w:rPr>
        <w:t>1 / le détail des activités souscrites dan</w:t>
      </w:r>
      <w:r w:rsidR="00AA6B43">
        <w:rPr>
          <w:rFonts w:ascii="Arial" w:hAnsi="Arial"/>
          <w:sz w:val="20"/>
          <w:szCs w:val="20"/>
          <w:lang w:val="fr-CA"/>
        </w:rPr>
        <w:t xml:space="preserve">s le plan triennal 2018 – 2020 </w:t>
      </w:r>
      <w:r w:rsidRPr="00C627DF">
        <w:rPr>
          <w:rFonts w:ascii="Arial" w:hAnsi="Arial"/>
          <w:sz w:val="24"/>
          <w:lang w:val="fr-CA"/>
        </w:rPr>
        <w:t xml:space="preserve">  </w:t>
      </w:r>
      <w:hyperlink r:id="rId15" w:history="1">
        <w:r w:rsidR="003B03A5" w:rsidRPr="00D949FE">
          <w:rPr>
            <w:rStyle w:val="Lienhypertexte"/>
            <w:rFonts w:ascii="Arial" w:hAnsi="Arial"/>
            <w:sz w:val="24"/>
            <w:lang w:val="fr-CA"/>
          </w:rPr>
          <w:t>https://itie-chad.org/wp-content/uploads/2022/03/Final-PTA-Triennal-2018-2020.xlsx</w:t>
        </w:r>
      </w:hyperlink>
    </w:p>
    <w:tbl>
      <w:tblPr>
        <w:tblpPr w:leftFromText="141" w:rightFromText="141" w:vertAnchor="text" w:horzAnchor="margin" w:tblpY="532"/>
        <w:tblW w:w="0" w:type="auto"/>
        <w:tblCellMar>
          <w:left w:w="70" w:type="dxa"/>
          <w:right w:w="70" w:type="dxa"/>
        </w:tblCellMar>
        <w:tblLook w:val="04A0" w:firstRow="1" w:lastRow="0" w:firstColumn="1" w:lastColumn="0" w:noHBand="0" w:noVBand="1"/>
      </w:tblPr>
      <w:tblGrid>
        <w:gridCol w:w="765"/>
        <w:gridCol w:w="3065"/>
        <w:gridCol w:w="1478"/>
        <w:gridCol w:w="801"/>
        <w:gridCol w:w="1212"/>
        <w:gridCol w:w="1739"/>
      </w:tblGrid>
      <w:tr w:rsidR="00E70B3D" w:rsidRPr="003B03A5" w:rsidTr="00E70B3D">
        <w:trPr>
          <w:trHeight w:val="300"/>
        </w:trPr>
        <w:tc>
          <w:tcPr>
            <w:tcW w:w="0" w:type="auto"/>
            <w:tcBorders>
              <w:top w:val="nil"/>
              <w:left w:val="nil"/>
              <w:bottom w:val="nil"/>
              <w:right w:val="nil"/>
            </w:tcBorders>
            <w:shd w:val="clear" w:color="auto" w:fill="auto"/>
            <w:noWrap/>
            <w:vAlign w:val="bottom"/>
            <w:hideMark/>
          </w:tcPr>
          <w:p w:rsidR="00E70B3D" w:rsidRPr="009560B7" w:rsidRDefault="00E70B3D" w:rsidP="00E70B3D">
            <w:pPr>
              <w:spacing w:after="0"/>
              <w:rPr>
                <w:rFonts w:ascii="Calibri" w:eastAsia="Times New Roman" w:hAnsi="Calibri" w:cs="Times New Roman"/>
                <w:color w:val="000000"/>
                <w:sz w:val="20"/>
                <w:szCs w:val="20"/>
                <w:lang w:val="fr-CA"/>
              </w:rPr>
            </w:pPr>
          </w:p>
        </w:tc>
        <w:tc>
          <w:tcPr>
            <w:tcW w:w="0" w:type="auto"/>
            <w:tcBorders>
              <w:top w:val="nil"/>
              <w:left w:val="nil"/>
              <w:bottom w:val="nil"/>
              <w:right w:val="nil"/>
            </w:tcBorders>
            <w:shd w:val="clear" w:color="auto" w:fill="auto"/>
            <w:noWrap/>
            <w:vAlign w:val="bottom"/>
            <w:hideMark/>
          </w:tcPr>
          <w:p w:rsidR="00E70B3D" w:rsidRPr="009560B7" w:rsidRDefault="00E70B3D" w:rsidP="00E70B3D">
            <w:pPr>
              <w:spacing w:after="0"/>
              <w:rPr>
                <w:rFonts w:ascii="Calibri" w:eastAsia="Times New Roman" w:hAnsi="Calibri" w:cs="Times New Roman"/>
                <w:color w:val="000000"/>
                <w:sz w:val="20"/>
                <w:szCs w:val="20"/>
                <w:lang w:val="fr-CA"/>
              </w:rPr>
            </w:pPr>
          </w:p>
        </w:tc>
        <w:tc>
          <w:tcPr>
            <w:tcW w:w="0" w:type="auto"/>
            <w:tcBorders>
              <w:top w:val="nil"/>
              <w:left w:val="nil"/>
              <w:bottom w:val="nil"/>
              <w:right w:val="nil"/>
            </w:tcBorders>
            <w:shd w:val="clear" w:color="auto" w:fill="auto"/>
            <w:noWrap/>
            <w:vAlign w:val="bottom"/>
            <w:hideMark/>
          </w:tcPr>
          <w:p w:rsidR="00E70B3D" w:rsidRPr="009560B7" w:rsidRDefault="00E70B3D" w:rsidP="00E70B3D">
            <w:pPr>
              <w:spacing w:after="0"/>
              <w:rPr>
                <w:rFonts w:ascii="Calibri" w:eastAsia="Times New Roman" w:hAnsi="Calibri" w:cs="Times New Roman"/>
                <w:color w:val="000000"/>
                <w:sz w:val="20"/>
                <w:szCs w:val="20"/>
                <w:lang w:val="fr-CA"/>
              </w:rPr>
            </w:pPr>
          </w:p>
        </w:tc>
        <w:tc>
          <w:tcPr>
            <w:tcW w:w="0" w:type="auto"/>
            <w:tcBorders>
              <w:top w:val="nil"/>
              <w:left w:val="nil"/>
              <w:bottom w:val="nil"/>
              <w:right w:val="nil"/>
            </w:tcBorders>
            <w:shd w:val="clear" w:color="auto" w:fill="auto"/>
            <w:noWrap/>
            <w:vAlign w:val="bottom"/>
            <w:hideMark/>
          </w:tcPr>
          <w:p w:rsidR="00E70B3D" w:rsidRPr="009560B7" w:rsidRDefault="00E70B3D" w:rsidP="00E70B3D">
            <w:pPr>
              <w:spacing w:after="0"/>
              <w:rPr>
                <w:rFonts w:ascii="Calibri" w:eastAsia="Times New Roman" w:hAnsi="Calibri" w:cs="Times New Roman"/>
                <w:color w:val="000000"/>
                <w:sz w:val="20"/>
                <w:szCs w:val="20"/>
                <w:lang w:val="fr-CA"/>
              </w:rPr>
            </w:pPr>
          </w:p>
        </w:tc>
        <w:tc>
          <w:tcPr>
            <w:tcW w:w="0" w:type="auto"/>
            <w:tcBorders>
              <w:top w:val="nil"/>
              <w:left w:val="nil"/>
              <w:bottom w:val="nil"/>
              <w:right w:val="nil"/>
            </w:tcBorders>
            <w:shd w:val="clear" w:color="auto" w:fill="auto"/>
            <w:noWrap/>
            <w:vAlign w:val="bottom"/>
            <w:hideMark/>
          </w:tcPr>
          <w:p w:rsidR="00E70B3D" w:rsidRPr="009560B7" w:rsidRDefault="00E70B3D" w:rsidP="00E70B3D">
            <w:pPr>
              <w:spacing w:after="0"/>
              <w:rPr>
                <w:rFonts w:ascii="Calibri" w:eastAsia="Times New Roman" w:hAnsi="Calibri" w:cs="Times New Roman"/>
                <w:color w:val="000000"/>
                <w:sz w:val="20"/>
                <w:szCs w:val="20"/>
                <w:lang w:val="fr-CA"/>
              </w:rPr>
            </w:pPr>
          </w:p>
        </w:tc>
        <w:tc>
          <w:tcPr>
            <w:tcW w:w="0" w:type="auto"/>
            <w:tcBorders>
              <w:top w:val="nil"/>
              <w:left w:val="nil"/>
              <w:bottom w:val="nil"/>
              <w:right w:val="nil"/>
            </w:tcBorders>
            <w:shd w:val="clear" w:color="auto" w:fill="auto"/>
            <w:noWrap/>
            <w:vAlign w:val="bottom"/>
            <w:hideMark/>
          </w:tcPr>
          <w:p w:rsidR="00E70B3D" w:rsidRPr="009560B7" w:rsidRDefault="00E70B3D" w:rsidP="00E70B3D">
            <w:pPr>
              <w:spacing w:after="0"/>
              <w:rPr>
                <w:rFonts w:ascii="Calibri" w:eastAsia="Times New Roman" w:hAnsi="Calibri" w:cs="Times New Roman"/>
                <w:color w:val="000000"/>
                <w:sz w:val="20"/>
                <w:szCs w:val="20"/>
                <w:lang w:val="fr-CA"/>
              </w:rPr>
            </w:pPr>
          </w:p>
        </w:tc>
      </w:tr>
      <w:tr w:rsidR="00E70B3D" w:rsidRPr="009560B7" w:rsidTr="00E70B3D">
        <w:trPr>
          <w:trHeight w:val="300"/>
        </w:trPr>
        <w:tc>
          <w:tcPr>
            <w:tcW w:w="0" w:type="auto"/>
            <w:tcBorders>
              <w:top w:val="single" w:sz="4" w:space="0" w:color="000000"/>
              <w:left w:val="single" w:sz="4" w:space="0" w:color="auto"/>
              <w:bottom w:val="single" w:sz="4" w:space="0" w:color="auto"/>
              <w:right w:val="single" w:sz="4" w:space="0" w:color="auto"/>
            </w:tcBorders>
            <w:shd w:val="clear" w:color="000000" w:fill="000000"/>
            <w:noWrap/>
            <w:vAlign w:val="bottom"/>
            <w:hideMark/>
          </w:tcPr>
          <w:p w:rsidR="00E70B3D" w:rsidRPr="009560B7" w:rsidRDefault="00E70B3D" w:rsidP="00E70B3D">
            <w:pPr>
              <w:spacing w:after="0"/>
              <w:rPr>
                <w:rFonts w:ascii="Verdana" w:eastAsia="Times New Roman" w:hAnsi="Verdana" w:cs="Times New Roman"/>
                <w:b/>
                <w:bCs/>
                <w:color w:val="FFFFFF"/>
                <w:sz w:val="20"/>
                <w:szCs w:val="20"/>
                <w:lang w:val="fr-CA"/>
              </w:rPr>
            </w:pPr>
            <w:r w:rsidRPr="009560B7">
              <w:rPr>
                <w:rFonts w:ascii="Verdana" w:eastAsia="Times New Roman" w:hAnsi="Verdana" w:cs="Times New Roman"/>
                <w:b/>
                <w:bCs/>
                <w:color w:val="FFFFFF"/>
                <w:sz w:val="20"/>
                <w:szCs w:val="20"/>
                <w:lang w:val="fr-CA"/>
              </w:rPr>
              <w:t>Numéro</w:t>
            </w:r>
          </w:p>
        </w:tc>
        <w:tc>
          <w:tcPr>
            <w:tcW w:w="0" w:type="auto"/>
            <w:tcBorders>
              <w:top w:val="single" w:sz="4" w:space="0" w:color="000000"/>
              <w:left w:val="single" w:sz="4" w:space="0" w:color="auto"/>
              <w:bottom w:val="single" w:sz="4" w:space="0" w:color="auto"/>
              <w:right w:val="single" w:sz="4" w:space="0" w:color="auto"/>
            </w:tcBorders>
            <w:shd w:val="clear" w:color="000000" w:fill="C0C0C0"/>
            <w:noWrap/>
            <w:vAlign w:val="bottom"/>
            <w:hideMark/>
          </w:tcPr>
          <w:p w:rsidR="00E70B3D" w:rsidRPr="009560B7" w:rsidRDefault="00E70B3D" w:rsidP="00E70B3D">
            <w:pPr>
              <w:spacing w:after="0"/>
              <w:rPr>
                <w:rFonts w:ascii="Verdana" w:eastAsia="Times New Roman" w:hAnsi="Verdana" w:cs="Times New Roman"/>
                <w:b/>
                <w:bCs/>
                <w:sz w:val="20"/>
                <w:szCs w:val="20"/>
                <w:lang w:val="fr-CA"/>
              </w:rPr>
            </w:pPr>
            <w:r w:rsidRPr="009560B7">
              <w:rPr>
                <w:rFonts w:ascii="Verdana" w:eastAsia="Times New Roman" w:hAnsi="Verdana" w:cs="Times New Roman"/>
                <w:b/>
                <w:bCs/>
                <w:sz w:val="20"/>
                <w:szCs w:val="20"/>
                <w:lang w:val="fr-CA"/>
              </w:rPr>
              <w:t>Rubriques</w:t>
            </w:r>
          </w:p>
        </w:tc>
        <w:tc>
          <w:tcPr>
            <w:tcW w:w="0" w:type="auto"/>
            <w:tcBorders>
              <w:top w:val="single" w:sz="4" w:space="0" w:color="000000"/>
              <w:left w:val="single" w:sz="4" w:space="0" w:color="auto"/>
              <w:bottom w:val="single" w:sz="4" w:space="0" w:color="auto"/>
              <w:right w:val="single" w:sz="4" w:space="0" w:color="auto"/>
            </w:tcBorders>
            <w:shd w:val="clear" w:color="000000" w:fill="C0C0C0"/>
            <w:noWrap/>
            <w:vAlign w:val="bottom"/>
            <w:hideMark/>
          </w:tcPr>
          <w:p w:rsidR="00E70B3D" w:rsidRPr="009560B7" w:rsidRDefault="00E70B3D" w:rsidP="00E70B3D">
            <w:pPr>
              <w:spacing w:after="0"/>
              <w:rPr>
                <w:rFonts w:ascii="Verdana" w:eastAsia="Times New Roman" w:hAnsi="Verdana" w:cs="Times New Roman"/>
                <w:b/>
                <w:bCs/>
                <w:sz w:val="20"/>
                <w:szCs w:val="20"/>
                <w:lang w:val="fr-CA"/>
              </w:rPr>
            </w:pPr>
            <w:r w:rsidRPr="009560B7">
              <w:rPr>
                <w:rFonts w:ascii="Verdana" w:eastAsia="Times New Roman" w:hAnsi="Verdana" w:cs="Times New Roman"/>
                <w:b/>
                <w:bCs/>
                <w:sz w:val="20"/>
                <w:szCs w:val="20"/>
                <w:lang w:val="fr-CA"/>
              </w:rPr>
              <w:t>Nombre activités</w:t>
            </w:r>
          </w:p>
        </w:tc>
        <w:tc>
          <w:tcPr>
            <w:tcW w:w="0" w:type="auto"/>
            <w:tcBorders>
              <w:top w:val="single" w:sz="4" w:space="0" w:color="000000"/>
              <w:left w:val="single" w:sz="4" w:space="0" w:color="auto"/>
              <w:bottom w:val="single" w:sz="4" w:space="0" w:color="auto"/>
              <w:right w:val="single" w:sz="4" w:space="0" w:color="auto"/>
            </w:tcBorders>
            <w:shd w:val="clear" w:color="000000" w:fill="C0C0C0"/>
            <w:noWrap/>
            <w:vAlign w:val="bottom"/>
            <w:hideMark/>
          </w:tcPr>
          <w:p w:rsidR="00E70B3D" w:rsidRPr="009560B7" w:rsidRDefault="00E70B3D" w:rsidP="00E70B3D">
            <w:pPr>
              <w:spacing w:after="0"/>
              <w:rPr>
                <w:rFonts w:ascii="Verdana" w:eastAsia="Times New Roman" w:hAnsi="Verdana" w:cs="Times New Roman"/>
                <w:b/>
                <w:bCs/>
                <w:sz w:val="20"/>
                <w:szCs w:val="20"/>
                <w:lang w:val="fr-CA"/>
              </w:rPr>
            </w:pPr>
            <w:r w:rsidRPr="009560B7">
              <w:rPr>
                <w:rFonts w:ascii="Verdana" w:eastAsia="Times New Roman" w:hAnsi="Verdana" w:cs="Times New Roman"/>
                <w:b/>
                <w:bCs/>
                <w:sz w:val="20"/>
                <w:szCs w:val="20"/>
                <w:lang w:val="fr-CA"/>
              </w:rPr>
              <w:t xml:space="preserve">Réalisée </w:t>
            </w:r>
          </w:p>
        </w:tc>
        <w:tc>
          <w:tcPr>
            <w:tcW w:w="0" w:type="auto"/>
            <w:tcBorders>
              <w:top w:val="single" w:sz="4" w:space="0" w:color="000000"/>
              <w:left w:val="single" w:sz="4" w:space="0" w:color="auto"/>
              <w:bottom w:val="single" w:sz="4" w:space="0" w:color="auto"/>
              <w:right w:val="single" w:sz="4" w:space="0" w:color="auto"/>
            </w:tcBorders>
            <w:shd w:val="clear" w:color="000000" w:fill="C0C0C0"/>
            <w:noWrap/>
            <w:vAlign w:val="bottom"/>
            <w:hideMark/>
          </w:tcPr>
          <w:p w:rsidR="00E70B3D" w:rsidRPr="009560B7" w:rsidRDefault="00E70B3D" w:rsidP="00E70B3D">
            <w:pPr>
              <w:spacing w:after="0"/>
              <w:rPr>
                <w:rFonts w:ascii="Verdana" w:eastAsia="Times New Roman" w:hAnsi="Verdana" w:cs="Times New Roman"/>
                <w:b/>
                <w:bCs/>
                <w:sz w:val="20"/>
                <w:szCs w:val="20"/>
                <w:lang w:val="fr-CA"/>
              </w:rPr>
            </w:pPr>
            <w:r w:rsidRPr="009560B7">
              <w:rPr>
                <w:rFonts w:ascii="Verdana" w:eastAsia="Times New Roman" w:hAnsi="Verdana" w:cs="Times New Roman"/>
                <w:b/>
                <w:bCs/>
                <w:sz w:val="20"/>
                <w:szCs w:val="20"/>
                <w:lang w:val="fr-CA"/>
              </w:rPr>
              <w:t xml:space="preserve">En cours </w:t>
            </w:r>
          </w:p>
        </w:tc>
        <w:tc>
          <w:tcPr>
            <w:tcW w:w="0" w:type="auto"/>
            <w:tcBorders>
              <w:top w:val="single" w:sz="4" w:space="0" w:color="000000"/>
              <w:left w:val="single" w:sz="4" w:space="0" w:color="auto"/>
              <w:bottom w:val="single" w:sz="4" w:space="0" w:color="auto"/>
              <w:right w:val="single" w:sz="4" w:space="0" w:color="auto"/>
            </w:tcBorders>
            <w:shd w:val="clear" w:color="000000" w:fill="C0C0C0"/>
            <w:noWrap/>
            <w:vAlign w:val="bottom"/>
            <w:hideMark/>
          </w:tcPr>
          <w:p w:rsidR="00E70B3D" w:rsidRPr="009560B7" w:rsidRDefault="00E70B3D" w:rsidP="00E70B3D">
            <w:pPr>
              <w:spacing w:after="0"/>
              <w:jc w:val="center"/>
              <w:rPr>
                <w:rFonts w:ascii="Verdana" w:eastAsia="Times New Roman" w:hAnsi="Verdana" w:cs="Times New Roman"/>
                <w:b/>
                <w:bCs/>
                <w:sz w:val="20"/>
                <w:szCs w:val="20"/>
                <w:lang w:val="fr-CA"/>
              </w:rPr>
            </w:pPr>
            <w:r w:rsidRPr="009560B7">
              <w:rPr>
                <w:rFonts w:ascii="Verdana" w:eastAsia="Times New Roman" w:hAnsi="Verdana" w:cs="Times New Roman"/>
                <w:b/>
                <w:bCs/>
                <w:sz w:val="20"/>
                <w:szCs w:val="20"/>
                <w:lang w:val="fr-CA"/>
              </w:rPr>
              <w:t xml:space="preserve">Non réalisée </w:t>
            </w:r>
          </w:p>
        </w:tc>
      </w:tr>
      <w:tr w:rsidR="00E70B3D" w:rsidRPr="009560B7" w:rsidTr="00E70B3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0B3D" w:rsidRPr="009560B7" w:rsidRDefault="00E70B3D" w:rsidP="00E70B3D">
            <w:pPr>
              <w:spacing w:after="0"/>
              <w:rPr>
                <w:rFonts w:ascii="Verdana" w:eastAsia="Times New Roman" w:hAnsi="Verdana" w:cs="Times New Roman"/>
                <w:color w:val="000000"/>
                <w:sz w:val="20"/>
                <w:szCs w:val="20"/>
                <w:lang w:val="fr-CA"/>
              </w:rPr>
            </w:pPr>
            <w:r w:rsidRPr="009560B7">
              <w:rPr>
                <w:rFonts w:ascii="Verdana" w:eastAsia="Times New Roman" w:hAnsi="Verdana" w:cs="Times New Roman"/>
                <w:color w:val="000000"/>
                <w:sz w:val="20"/>
                <w:szCs w:val="20"/>
                <w:lang w:val="fr-CA"/>
              </w:rPr>
              <w:t> </w:t>
            </w:r>
          </w:p>
        </w:tc>
        <w:tc>
          <w:tcPr>
            <w:tcW w:w="0" w:type="auto"/>
            <w:tcBorders>
              <w:top w:val="nil"/>
              <w:left w:val="nil"/>
              <w:bottom w:val="single" w:sz="4" w:space="0" w:color="auto"/>
              <w:right w:val="nil"/>
            </w:tcBorders>
            <w:shd w:val="clear" w:color="000000" w:fill="FFFFFF"/>
            <w:vAlign w:val="bottom"/>
            <w:hideMark/>
          </w:tcPr>
          <w:p w:rsidR="00E70B3D" w:rsidRPr="009560B7" w:rsidRDefault="00E70B3D" w:rsidP="00E70B3D">
            <w:pPr>
              <w:spacing w:after="0"/>
              <w:rPr>
                <w:rFonts w:ascii="Verdana" w:eastAsia="Times New Roman" w:hAnsi="Verdana" w:cs="Times New Roman"/>
                <w:b/>
                <w:bCs/>
                <w:color w:val="000000"/>
                <w:sz w:val="20"/>
                <w:szCs w:val="20"/>
                <w:lang w:val="fr-CA"/>
              </w:rPr>
            </w:pPr>
            <w:r w:rsidRPr="009560B7">
              <w:rPr>
                <w:rFonts w:ascii="Verdana" w:eastAsia="Times New Roman" w:hAnsi="Verdana" w:cs="Times New Roman"/>
                <w:b/>
                <w:bCs/>
                <w:color w:val="000000"/>
                <w:sz w:val="20"/>
                <w:szCs w:val="20"/>
                <w:lang w:val="fr-CA"/>
              </w:rPr>
              <w:t>I. Axes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70B3D" w:rsidRPr="009560B7" w:rsidRDefault="00E70B3D" w:rsidP="00E70B3D">
            <w:pPr>
              <w:spacing w:after="0"/>
              <w:rPr>
                <w:rFonts w:ascii="Verdana" w:eastAsia="Times New Roman" w:hAnsi="Verdana" w:cs="Times New Roman"/>
                <w:b/>
                <w:bCs/>
                <w:color w:val="000000"/>
                <w:sz w:val="20"/>
                <w:szCs w:val="20"/>
                <w:lang w:val="fr-CA"/>
              </w:rPr>
            </w:pPr>
            <w:r w:rsidRPr="009560B7">
              <w:rPr>
                <w:rFonts w:ascii="Verdana" w:eastAsia="Times New Roman" w:hAnsi="Verdana" w:cs="Times New Roman"/>
                <w:b/>
                <w:bCs/>
                <w:color w:val="000000"/>
                <w:sz w:val="20"/>
                <w:szCs w:val="20"/>
                <w:lang w:val="fr-CA"/>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9560B7" w:rsidRDefault="00E70B3D" w:rsidP="00E70B3D">
            <w:pPr>
              <w:spacing w:after="0"/>
              <w:rPr>
                <w:rFonts w:ascii="Verdana" w:eastAsia="Times New Roman" w:hAnsi="Verdana" w:cs="Times New Roman"/>
                <w:b/>
                <w:bCs/>
                <w:color w:val="000000"/>
                <w:sz w:val="20"/>
                <w:szCs w:val="20"/>
                <w:lang w:val="fr-CA"/>
              </w:rPr>
            </w:pPr>
            <w:r w:rsidRPr="009560B7">
              <w:rPr>
                <w:rFonts w:ascii="Verdana" w:eastAsia="Times New Roman" w:hAnsi="Verdana" w:cs="Times New Roman"/>
                <w:b/>
                <w:bCs/>
                <w:color w:val="000000"/>
                <w:sz w:val="20"/>
                <w:szCs w:val="20"/>
                <w:lang w:val="fr-CA"/>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9560B7" w:rsidRDefault="00E70B3D" w:rsidP="00E70B3D">
            <w:pPr>
              <w:spacing w:after="0"/>
              <w:rPr>
                <w:rFonts w:ascii="Verdana" w:eastAsia="Times New Roman" w:hAnsi="Verdana" w:cs="Times New Roman"/>
                <w:b/>
                <w:bCs/>
                <w:color w:val="000000"/>
                <w:sz w:val="20"/>
                <w:szCs w:val="20"/>
                <w:lang w:val="fr-CA"/>
              </w:rPr>
            </w:pPr>
            <w:r w:rsidRPr="009560B7">
              <w:rPr>
                <w:rFonts w:ascii="Verdana" w:eastAsia="Times New Roman" w:hAnsi="Verdana" w:cs="Times New Roman"/>
                <w:b/>
                <w:bCs/>
                <w:color w:val="000000"/>
                <w:sz w:val="20"/>
                <w:szCs w:val="20"/>
                <w:lang w:val="fr-CA"/>
              </w:rPr>
              <w:t xml:space="preserve">                     -     </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9560B7" w:rsidRDefault="00E70B3D" w:rsidP="00E70B3D">
            <w:pPr>
              <w:spacing w:after="0"/>
              <w:rPr>
                <w:rFonts w:ascii="Verdana" w:eastAsia="Times New Roman" w:hAnsi="Verdana" w:cs="Times New Roman"/>
                <w:b/>
                <w:bCs/>
                <w:color w:val="000000"/>
                <w:sz w:val="20"/>
                <w:szCs w:val="20"/>
                <w:lang w:val="fr-CA"/>
              </w:rPr>
            </w:pPr>
            <w:r w:rsidRPr="009560B7">
              <w:rPr>
                <w:rFonts w:ascii="Verdana" w:eastAsia="Times New Roman" w:hAnsi="Verdana" w:cs="Times New Roman"/>
                <w:b/>
                <w:bCs/>
                <w:color w:val="000000"/>
                <w:sz w:val="20"/>
                <w:szCs w:val="20"/>
                <w:lang w:val="fr-CA"/>
              </w:rPr>
              <w:t xml:space="preserve">                                -     </w:t>
            </w:r>
          </w:p>
        </w:tc>
      </w:tr>
      <w:tr w:rsidR="00E70B3D" w:rsidRPr="007D5BBD" w:rsidTr="00E70B3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0B3D" w:rsidRPr="009560B7" w:rsidRDefault="00E70B3D" w:rsidP="00E70B3D">
            <w:pPr>
              <w:spacing w:after="0"/>
              <w:jc w:val="right"/>
              <w:rPr>
                <w:rFonts w:ascii="Verdana" w:eastAsia="Times New Roman" w:hAnsi="Verdana" w:cs="Times New Roman"/>
                <w:color w:val="000000"/>
                <w:sz w:val="20"/>
                <w:szCs w:val="20"/>
                <w:lang w:val="fr-CA"/>
              </w:rPr>
            </w:pPr>
            <w:r w:rsidRPr="009560B7">
              <w:rPr>
                <w:rFonts w:ascii="Verdana" w:eastAsia="Times New Roman" w:hAnsi="Verdana" w:cs="Times New Roman"/>
                <w:color w:val="000000"/>
                <w:sz w:val="20"/>
                <w:szCs w:val="20"/>
                <w:lang w:val="fr-CA"/>
              </w:rPr>
              <w:t>1</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9560B7" w:rsidRDefault="00E70B3D" w:rsidP="00E70B3D">
            <w:pPr>
              <w:spacing w:after="0"/>
              <w:jc w:val="both"/>
              <w:rPr>
                <w:rFonts w:ascii="Verdana" w:eastAsia="Times New Roman" w:hAnsi="Verdana" w:cs="Times New Roman"/>
                <w:color w:val="000000"/>
                <w:sz w:val="20"/>
                <w:szCs w:val="20"/>
                <w:lang w:val="fr-CA"/>
              </w:rPr>
            </w:pPr>
            <w:r w:rsidRPr="009560B7">
              <w:rPr>
                <w:rFonts w:ascii="Verdana" w:eastAsia="Times New Roman" w:hAnsi="Verdana" w:cs="Times New Roman"/>
                <w:color w:val="000000"/>
                <w:sz w:val="20"/>
                <w:szCs w:val="20"/>
                <w:lang w:val="fr-CA"/>
              </w:rPr>
              <w:t xml:space="preserve">Production et </w:t>
            </w:r>
            <w:proofErr w:type="gramStart"/>
            <w:r w:rsidRPr="009560B7">
              <w:rPr>
                <w:rFonts w:ascii="Verdana" w:eastAsia="Times New Roman" w:hAnsi="Verdana" w:cs="Times New Roman"/>
                <w:color w:val="000000"/>
                <w:sz w:val="20"/>
                <w:szCs w:val="20"/>
                <w:lang w:val="fr-CA"/>
              </w:rPr>
              <w:t>publication  de</w:t>
            </w:r>
            <w:proofErr w:type="gramEnd"/>
            <w:r w:rsidRPr="009560B7">
              <w:rPr>
                <w:rFonts w:ascii="Verdana" w:eastAsia="Times New Roman" w:hAnsi="Verdana" w:cs="Times New Roman"/>
                <w:color w:val="000000"/>
                <w:sz w:val="20"/>
                <w:szCs w:val="20"/>
                <w:lang w:val="fr-CA"/>
              </w:rPr>
              <w:t xml:space="preserve"> rapport ITIE</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6</w:t>
            </w:r>
          </w:p>
        </w:tc>
      </w:tr>
      <w:tr w:rsidR="00E70B3D" w:rsidRPr="007D5BBD" w:rsidTr="00E70B3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both"/>
              <w:rPr>
                <w:rFonts w:ascii="Verdana" w:eastAsia="Times New Roman" w:hAnsi="Verdana" w:cs="Times New Roman"/>
                <w:color w:val="000000"/>
                <w:sz w:val="20"/>
                <w:szCs w:val="20"/>
              </w:rPr>
            </w:pPr>
            <w:proofErr w:type="spellStart"/>
            <w:r w:rsidRPr="007D5BBD">
              <w:rPr>
                <w:rFonts w:ascii="Verdana" w:eastAsia="Times New Roman" w:hAnsi="Verdana" w:cs="Times New Roman"/>
                <w:color w:val="000000"/>
                <w:sz w:val="20"/>
                <w:szCs w:val="20"/>
              </w:rPr>
              <w:t>Dissémination</w:t>
            </w:r>
            <w:proofErr w:type="spellEnd"/>
            <w:r w:rsidRPr="007D5BBD">
              <w:rPr>
                <w:rFonts w:ascii="Verdana" w:eastAsia="Times New Roman" w:hAnsi="Verdana" w:cs="Times New Roman"/>
                <w:color w:val="000000"/>
                <w:sz w:val="20"/>
                <w:szCs w:val="20"/>
              </w:rPr>
              <w:t xml:space="preserve"> de rapport ITIE</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3</w:t>
            </w:r>
          </w:p>
        </w:tc>
      </w:tr>
      <w:tr w:rsidR="00E70B3D" w:rsidRPr="007D5BBD" w:rsidTr="00E70B3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9560B7" w:rsidRDefault="00E70B3D" w:rsidP="00E70B3D">
            <w:pPr>
              <w:spacing w:after="0"/>
              <w:jc w:val="both"/>
              <w:rPr>
                <w:rFonts w:ascii="Verdana" w:eastAsia="Times New Roman" w:hAnsi="Verdana" w:cs="Times New Roman"/>
                <w:color w:val="000000"/>
                <w:sz w:val="20"/>
                <w:szCs w:val="20"/>
                <w:lang w:val="fr-CA"/>
              </w:rPr>
            </w:pPr>
            <w:r w:rsidRPr="009560B7">
              <w:rPr>
                <w:rFonts w:ascii="Verdana" w:eastAsia="Times New Roman" w:hAnsi="Verdana" w:cs="Times New Roman"/>
                <w:color w:val="000000"/>
                <w:sz w:val="20"/>
                <w:szCs w:val="20"/>
                <w:lang w:val="fr-CA"/>
              </w:rPr>
              <w:t>Activités spécifiques de mise en œuvre</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0</w:t>
            </w:r>
          </w:p>
        </w:tc>
      </w:tr>
      <w:tr w:rsidR="00E70B3D" w:rsidRPr="007D5BBD" w:rsidTr="00E70B3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both"/>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Validation</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1</w:t>
            </w:r>
          </w:p>
        </w:tc>
      </w:tr>
      <w:tr w:rsidR="00E70B3D" w:rsidRPr="007D5BBD" w:rsidTr="00E70B3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both"/>
              <w:rPr>
                <w:rFonts w:ascii="Verdana" w:eastAsia="Times New Roman" w:hAnsi="Verdana" w:cs="Times New Roman"/>
                <w:color w:val="000000"/>
                <w:sz w:val="20"/>
                <w:szCs w:val="20"/>
              </w:rPr>
            </w:pPr>
            <w:proofErr w:type="spellStart"/>
            <w:r w:rsidRPr="007D5BBD">
              <w:rPr>
                <w:rFonts w:ascii="Verdana" w:eastAsia="Times New Roman" w:hAnsi="Verdana" w:cs="Times New Roman"/>
                <w:color w:val="000000"/>
                <w:sz w:val="20"/>
                <w:szCs w:val="20"/>
              </w:rPr>
              <w:t>Renforcement</w:t>
            </w:r>
            <w:proofErr w:type="spellEnd"/>
            <w:r w:rsidRPr="007D5BBD">
              <w:rPr>
                <w:rFonts w:ascii="Verdana" w:eastAsia="Times New Roman" w:hAnsi="Verdana" w:cs="Times New Roman"/>
                <w:color w:val="000000"/>
                <w:sz w:val="20"/>
                <w:szCs w:val="20"/>
              </w:rPr>
              <w:t xml:space="preserve"> de </w:t>
            </w:r>
            <w:proofErr w:type="spellStart"/>
            <w:r w:rsidRPr="007D5BBD">
              <w:rPr>
                <w:rFonts w:ascii="Verdana" w:eastAsia="Times New Roman" w:hAnsi="Verdana" w:cs="Times New Roman"/>
                <w:color w:val="000000"/>
                <w:sz w:val="20"/>
                <w:szCs w:val="20"/>
              </w:rPr>
              <w:t>capacité</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2</w:t>
            </w:r>
          </w:p>
        </w:tc>
      </w:tr>
      <w:tr w:rsidR="00E70B3D" w:rsidRPr="007D5BBD" w:rsidTr="00E70B3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9560B7" w:rsidRDefault="00E70B3D" w:rsidP="00E70B3D">
            <w:pPr>
              <w:spacing w:after="0"/>
              <w:jc w:val="both"/>
              <w:rPr>
                <w:rFonts w:ascii="Verdana" w:eastAsia="Times New Roman" w:hAnsi="Verdana" w:cs="Times New Roman"/>
                <w:color w:val="000000"/>
                <w:sz w:val="20"/>
                <w:szCs w:val="20"/>
                <w:lang w:val="fr-CA"/>
              </w:rPr>
            </w:pPr>
            <w:r w:rsidRPr="009560B7">
              <w:rPr>
                <w:rFonts w:ascii="Verdana" w:eastAsia="Times New Roman" w:hAnsi="Verdana" w:cs="Times New Roman"/>
                <w:color w:val="000000"/>
                <w:sz w:val="20"/>
                <w:szCs w:val="20"/>
                <w:lang w:val="fr-CA"/>
              </w:rPr>
              <w:t>Suivi de mise en œuvre et Financement</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1</w:t>
            </w:r>
          </w:p>
        </w:tc>
      </w:tr>
      <w:tr w:rsidR="00E70B3D" w:rsidRPr="007D5BBD" w:rsidTr="00E70B3D">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E70B3D" w:rsidRPr="007D5BBD" w:rsidRDefault="00E70B3D" w:rsidP="00E70B3D">
            <w:pPr>
              <w:spacing w:after="0"/>
              <w:rPr>
                <w:rFonts w:ascii="Calibri" w:eastAsia="Times New Roman" w:hAnsi="Calibri" w:cs="Times New Roman"/>
                <w:color w:val="000000"/>
                <w:sz w:val="20"/>
                <w:szCs w:val="20"/>
              </w:rPr>
            </w:pPr>
            <w:r w:rsidRPr="007D5BBD">
              <w:rPr>
                <w:rFonts w:ascii="Calibri" w:eastAsia="Times New Roman" w:hAnsi="Calibri" w:cs="Times New Roman"/>
                <w:color w:val="000000"/>
                <w:sz w:val="20"/>
                <w:szCs w:val="20"/>
              </w:rPr>
              <w:t> </w:t>
            </w:r>
          </w:p>
        </w:tc>
        <w:tc>
          <w:tcPr>
            <w:tcW w:w="0" w:type="auto"/>
            <w:tcBorders>
              <w:top w:val="nil"/>
              <w:left w:val="nil"/>
              <w:bottom w:val="nil"/>
              <w:right w:val="single" w:sz="4" w:space="0" w:color="auto"/>
            </w:tcBorders>
            <w:shd w:val="clear" w:color="000000" w:fill="FFFFFF"/>
            <w:noWrap/>
            <w:vAlign w:val="bottom"/>
            <w:hideMark/>
          </w:tcPr>
          <w:p w:rsidR="00E70B3D" w:rsidRPr="007D5BBD" w:rsidRDefault="00E70B3D" w:rsidP="00E70B3D">
            <w:pPr>
              <w:spacing w:after="0"/>
              <w:jc w:val="both"/>
              <w:rPr>
                <w:rFonts w:ascii="Verdana" w:eastAsia="Times New Roman" w:hAnsi="Verdana" w:cs="Times New Roman"/>
                <w:b/>
                <w:bCs/>
                <w:color w:val="000000"/>
                <w:sz w:val="20"/>
                <w:szCs w:val="20"/>
              </w:rPr>
            </w:pPr>
            <w:r w:rsidRPr="007D5BBD">
              <w:rPr>
                <w:rFonts w:ascii="Verdana" w:eastAsia="Times New Roman" w:hAnsi="Verdana" w:cs="Times New Roman"/>
                <w:b/>
                <w:bCs/>
                <w:color w:val="000000"/>
                <w:sz w:val="20"/>
                <w:szCs w:val="20"/>
              </w:rPr>
              <w:t>Total des Axes</w:t>
            </w:r>
          </w:p>
        </w:tc>
        <w:tc>
          <w:tcPr>
            <w:tcW w:w="0" w:type="auto"/>
            <w:tcBorders>
              <w:top w:val="nil"/>
              <w:left w:val="nil"/>
              <w:bottom w:val="nil"/>
              <w:right w:val="nil"/>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b/>
                <w:bCs/>
                <w:color w:val="000000"/>
                <w:sz w:val="20"/>
                <w:szCs w:val="20"/>
              </w:rPr>
            </w:pPr>
            <w:r w:rsidRPr="007D5BBD">
              <w:rPr>
                <w:rFonts w:ascii="Verdana" w:eastAsia="Times New Roman" w:hAnsi="Verdana" w:cs="Times New Roman"/>
                <w:b/>
                <w:bCs/>
                <w:color w:val="000000"/>
                <w:sz w:val="20"/>
                <w:szCs w:val="20"/>
              </w:rPr>
              <w:t>29</w:t>
            </w:r>
          </w:p>
        </w:tc>
        <w:tc>
          <w:tcPr>
            <w:tcW w:w="0" w:type="auto"/>
            <w:tcBorders>
              <w:top w:val="nil"/>
              <w:left w:val="single" w:sz="4" w:space="0" w:color="auto"/>
              <w:bottom w:val="nil"/>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b/>
                <w:bCs/>
                <w:color w:val="000000"/>
                <w:sz w:val="20"/>
                <w:szCs w:val="20"/>
              </w:rPr>
            </w:pPr>
            <w:r w:rsidRPr="007D5BBD">
              <w:rPr>
                <w:rFonts w:ascii="Verdana" w:eastAsia="Times New Roman" w:hAnsi="Verdana" w:cs="Times New Roman"/>
                <w:b/>
                <w:bCs/>
                <w:color w:val="000000"/>
                <w:sz w:val="20"/>
                <w:szCs w:val="20"/>
              </w:rPr>
              <w:t>8</w:t>
            </w:r>
          </w:p>
        </w:tc>
        <w:tc>
          <w:tcPr>
            <w:tcW w:w="0" w:type="auto"/>
            <w:tcBorders>
              <w:top w:val="nil"/>
              <w:left w:val="nil"/>
              <w:bottom w:val="nil"/>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b/>
                <w:bCs/>
                <w:color w:val="000000"/>
                <w:sz w:val="20"/>
                <w:szCs w:val="20"/>
              </w:rPr>
            </w:pPr>
            <w:r w:rsidRPr="007D5BBD">
              <w:rPr>
                <w:rFonts w:ascii="Verdana" w:eastAsia="Times New Roman" w:hAnsi="Verdana" w:cs="Times New Roman"/>
                <w:b/>
                <w:bCs/>
                <w:color w:val="000000"/>
                <w:sz w:val="20"/>
                <w:szCs w:val="20"/>
              </w:rPr>
              <w:t>8</w:t>
            </w:r>
          </w:p>
        </w:tc>
        <w:tc>
          <w:tcPr>
            <w:tcW w:w="0" w:type="auto"/>
            <w:tcBorders>
              <w:top w:val="nil"/>
              <w:left w:val="nil"/>
              <w:bottom w:val="nil"/>
              <w:right w:val="nil"/>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b/>
                <w:bCs/>
                <w:color w:val="000000"/>
                <w:sz w:val="20"/>
                <w:szCs w:val="20"/>
              </w:rPr>
            </w:pPr>
            <w:r w:rsidRPr="007D5BBD">
              <w:rPr>
                <w:rFonts w:ascii="Verdana" w:eastAsia="Times New Roman" w:hAnsi="Verdana" w:cs="Times New Roman"/>
                <w:b/>
                <w:bCs/>
                <w:color w:val="000000"/>
                <w:sz w:val="20"/>
                <w:szCs w:val="20"/>
              </w:rPr>
              <w:t>13</w:t>
            </w:r>
          </w:p>
        </w:tc>
      </w:tr>
      <w:tr w:rsidR="00E70B3D" w:rsidRPr="007D5BBD" w:rsidTr="00E70B3D">
        <w:trPr>
          <w:trHeight w:val="300"/>
        </w:trPr>
        <w:tc>
          <w:tcPr>
            <w:tcW w:w="0" w:type="auto"/>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70B3D" w:rsidRPr="007D5BBD" w:rsidRDefault="00E70B3D" w:rsidP="00E70B3D">
            <w:pPr>
              <w:spacing w:after="0"/>
              <w:rPr>
                <w:rFonts w:ascii="Calibri" w:eastAsia="Times New Roman" w:hAnsi="Calibri" w:cs="Times New Roman"/>
                <w:color w:val="000000"/>
                <w:sz w:val="20"/>
                <w:szCs w:val="20"/>
              </w:rPr>
            </w:pPr>
            <w:r w:rsidRPr="007D5BBD">
              <w:rPr>
                <w:rFonts w:ascii="Calibri" w:eastAsia="Times New Roman" w:hAnsi="Calibri" w:cs="Times New Roman"/>
                <w:color w:val="000000"/>
                <w:sz w:val="20"/>
                <w:szCs w:val="20"/>
              </w:rPr>
              <w:t> </w:t>
            </w:r>
          </w:p>
        </w:tc>
        <w:tc>
          <w:tcPr>
            <w:tcW w:w="0" w:type="auto"/>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70B3D" w:rsidRPr="009560B7" w:rsidRDefault="00E70B3D" w:rsidP="00E70B3D">
            <w:pPr>
              <w:spacing w:after="0"/>
              <w:jc w:val="both"/>
              <w:rPr>
                <w:rFonts w:ascii="Verdana" w:eastAsia="Times New Roman" w:hAnsi="Verdana" w:cs="Times New Roman"/>
                <w:b/>
                <w:bCs/>
                <w:color w:val="000000"/>
                <w:sz w:val="20"/>
                <w:szCs w:val="20"/>
                <w:lang w:val="fr-CA"/>
              </w:rPr>
            </w:pPr>
            <w:r w:rsidRPr="009560B7">
              <w:rPr>
                <w:rFonts w:ascii="Verdana" w:eastAsia="Times New Roman" w:hAnsi="Verdana" w:cs="Times New Roman"/>
                <w:b/>
                <w:bCs/>
                <w:color w:val="000000"/>
                <w:sz w:val="20"/>
                <w:szCs w:val="20"/>
                <w:lang w:val="fr-CA"/>
              </w:rPr>
              <w:t>Total des Axes en pourcentage</w:t>
            </w:r>
          </w:p>
        </w:tc>
        <w:tc>
          <w:tcPr>
            <w:tcW w:w="0" w:type="auto"/>
            <w:tcBorders>
              <w:top w:val="single" w:sz="4" w:space="0" w:color="000000"/>
              <w:left w:val="nil"/>
              <w:bottom w:val="single" w:sz="4" w:space="0" w:color="000000"/>
              <w:right w:val="nil"/>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b/>
                <w:bCs/>
                <w:color w:val="000000"/>
                <w:sz w:val="20"/>
                <w:szCs w:val="20"/>
              </w:rPr>
            </w:pPr>
            <w:r w:rsidRPr="007D5BBD">
              <w:rPr>
                <w:rFonts w:ascii="Verdana" w:eastAsia="Times New Roman" w:hAnsi="Verdana" w:cs="Times New Roman"/>
                <w:b/>
                <w:bCs/>
                <w:color w:val="000000"/>
                <w:sz w:val="20"/>
                <w:szCs w:val="20"/>
              </w:rPr>
              <w:t>100%</w:t>
            </w:r>
          </w:p>
        </w:tc>
        <w:tc>
          <w:tcPr>
            <w:tcW w:w="0" w:type="auto"/>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28%</w:t>
            </w:r>
          </w:p>
        </w:tc>
        <w:tc>
          <w:tcPr>
            <w:tcW w:w="0" w:type="auto"/>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28%</w:t>
            </w:r>
          </w:p>
        </w:tc>
        <w:tc>
          <w:tcPr>
            <w:tcW w:w="0" w:type="auto"/>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70B3D" w:rsidRPr="007D5BBD" w:rsidRDefault="00E70B3D" w:rsidP="00E70B3D">
            <w:pPr>
              <w:spacing w:after="0"/>
              <w:jc w:val="right"/>
              <w:rPr>
                <w:rFonts w:ascii="Verdana" w:eastAsia="Times New Roman" w:hAnsi="Verdana" w:cs="Times New Roman"/>
                <w:color w:val="000000"/>
                <w:sz w:val="20"/>
                <w:szCs w:val="20"/>
              </w:rPr>
            </w:pPr>
            <w:r w:rsidRPr="007D5BBD">
              <w:rPr>
                <w:rFonts w:ascii="Verdana" w:eastAsia="Times New Roman" w:hAnsi="Verdana" w:cs="Times New Roman"/>
                <w:color w:val="000000"/>
                <w:sz w:val="20"/>
                <w:szCs w:val="20"/>
              </w:rPr>
              <w:t>45%</w:t>
            </w:r>
          </w:p>
        </w:tc>
      </w:tr>
    </w:tbl>
    <w:p w:rsidR="00C627DF" w:rsidRDefault="00CF086F" w:rsidP="00E70B3D">
      <w:pPr>
        <w:spacing w:after="0" w:line="360" w:lineRule="auto"/>
        <w:jc w:val="both"/>
        <w:rPr>
          <w:rFonts w:ascii="Arial" w:hAnsi="Arial"/>
          <w:sz w:val="20"/>
          <w:szCs w:val="20"/>
          <w:lang w:val="fr-CA"/>
        </w:rPr>
      </w:pPr>
      <w:r>
        <w:rPr>
          <w:noProof/>
          <w:lang w:val="fr-CA" w:eastAsia="fr-CA"/>
        </w:rPr>
        <mc:AlternateContent>
          <mc:Choice Requires="wps">
            <w:drawing>
              <wp:anchor distT="4294967293" distB="4294967293" distL="114300" distR="114300" simplePos="0" relativeHeight="251659776" behindDoc="0" locked="0" layoutInCell="1" allowOverlap="1" wp14:anchorId="34D00EE1" wp14:editId="2CD7AA34">
                <wp:simplePos x="0" y="0"/>
                <wp:positionH relativeFrom="column">
                  <wp:posOffset>3810</wp:posOffset>
                </wp:positionH>
                <wp:positionV relativeFrom="paragraph">
                  <wp:posOffset>109219</wp:posOffset>
                </wp:positionV>
                <wp:extent cx="5943600" cy="0"/>
                <wp:effectExtent l="0" t="0" r="19050" b="1905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84C8" id="Line 2"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8.6pt" to="468.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6fEQ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" strokeweight="2pt"/>
            </w:pict>
          </mc:Fallback>
        </mc:AlternateContent>
      </w:r>
      <w:r>
        <w:rPr>
          <w:noProof/>
          <w:lang w:val="fr-CA" w:eastAsia="fr-CA"/>
        </w:rPr>
        <mc:AlternateContent>
          <mc:Choice Requires="wps">
            <w:drawing>
              <wp:anchor distT="0" distB="0" distL="114300" distR="114300" simplePos="0" relativeHeight="251660800" behindDoc="0" locked="0" layoutInCell="1" allowOverlap="1" wp14:anchorId="68A945E9" wp14:editId="40EBDE40">
                <wp:simplePos x="0" y="0"/>
                <wp:positionH relativeFrom="column">
                  <wp:posOffset>6713855</wp:posOffset>
                </wp:positionH>
                <wp:positionV relativeFrom="paragraph">
                  <wp:posOffset>-1525270</wp:posOffset>
                </wp:positionV>
                <wp:extent cx="152400" cy="11430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11B" w:rsidRDefault="009F411B" w:rsidP="00C627DF">
                            <w:r w:rsidRPr="00091AA5">
                              <w:rPr>
                                <w:lang w:val="fr-CA"/>
                              </w:rPr>
                              <w:t xml:space="preserve">© Copyright </w:t>
                            </w:r>
                            <w:proofErr w:type="spellStart"/>
                            <w:r w:rsidRPr="00091AA5">
                              <w:rPr>
                                <w:lang w:val="fr-CA"/>
                              </w:rPr>
                              <w:t>Envision</w:t>
                            </w:r>
                            <w:proofErr w:type="spellEnd"/>
                            <w:r w:rsidRPr="00091AA5">
                              <w:rPr>
                                <w:lang w:val="fr-CA"/>
                              </w:rPr>
                              <w:t xml:space="preserve"> – Corporation. 2002. Tous droits réservés. Ce contenu est protégé par les lois sur les droits d’auteur des États-Unis, du Canada et par les traités internationaux. IL EST ILLÉGAL ET STRICTEMENT DÉFENDU DE DISTRIBUER, PUBLIER, OFFRIR EN VENTE, LICENSER OU SOUS-LICENSER, DONNER OU DIVULGUER CE CONTENU À UNE TIERCE PARTIE ET CE, EN FORMAT DIGITAL, PAPIER OU AUTRE. </w:t>
                            </w:r>
                            <w:r>
                              <w:t>TOUS LES CONTREVENANTS SERONT POURSUIVIS EN JUSTICE.</w:t>
                            </w:r>
                          </w:p>
                          <w:p w:rsidR="009F411B" w:rsidRDefault="009F411B" w:rsidP="00C62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945E9" id="_x0000_t202" coordsize="21600,21600" o:spt="202" path="m,l,21600r21600,l21600,xe">
                <v:stroke joinstyle="miter"/>
                <v:path gradientshapeok="t" o:connecttype="rect"/>
              </v:shapetype>
              <v:shape id="Text Box 3" o:spid="_x0000_s1026" type="#_x0000_t202" style="position:absolute;left:0;text-align:left;margin-left:528.65pt;margin-top:-120.1pt;width:12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2QfwIAAA8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" stroked="f">
                <v:textbox>
                  <w:txbxContent>
                    <w:p w:rsidR="009F411B" w:rsidRDefault="009F411B" w:rsidP="00C627DF">
                      <w:r w:rsidRPr="00091AA5">
                        <w:rPr>
                          <w:lang w:val="fr-CA"/>
                        </w:rPr>
                        <w:t xml:space="preserve">© Copyright </w:t>
                      </w:r>
                      <w:proofErr w:type="spellStart"/>
                      <w:r w:rsidRPr="00091AA5">
                        <w:rPr>
                          <w:lang w:val="fr-CA"/>
                        </w:rPr>
                        <w:t>Envision</w:t>
                      </w:r>
                      <w:proofErr w:type="spellEnd"/>
                      <w:r w:rsidRPr="00091AA5">
                        <w:rPr>
                          <w:lang w:val="fr-CA"/>
                        </w:rPr>
                        <w:t xml:space="preserve"> – Corporation. 2002. Tous droits réservés. Ce contenu est protégé par les lois sur les droits d’auteur des États-Unis, du Canada et par les traités internationaux. IL EST ILLÉGAL ET STRICTEMENT DÉFENDU DE DISTRIBUER, PUBLIER, OFFRIR EN VENTE, LICENSER OU SOUS-LICENSER, DONNER OU DIVULGUER CE CONTENU À UNE TIERCE PARTIE ET CE, EN FORMAT DIGITAL, PAPIER OU AUTRE. </w:t>
                      </w:r>
                      <w:r>
                        <w:t>TOUS LES CONTREVENANTS SERONT POURSUIVIS EN JUSTICE.</w:t>
                      </w:r>
                    </w:p>
                    <w:p w:rsidR="009F411B" w:rsidRDefault="009F411B" w:rsidP="00C627DF"/>
                  </w:txbxContent>
                </v:textbox>
              </v:shape>
            </w:pict>
          </mc:Fallback>
        </mc:AlternateContent>
      </w:r>
      <w:r>
        <w:rPr>
          <w:noProof/>
          <w:lang w:val="fr-CA" w:eastAsia="fr-CA"/>
        </w:rPr>
        <mc:AlternateContent>
          <mc:Choice Requires="wps">
            <w:drawing>
              <wp:anchor distT="0" distB="0" distL="114300" distR="114300" simplePos="0" relativeHeight="251661824" behindDoc="0" locked="0" layoutInCell="1" allowOverlap="1" wp14:anchorId="33BA1897" wp14:editId="054E1C72">
                <wp:simplePos x="0" y="0"/>
                <wp:positionH relativeFrom="column">
                  <wp:posOffset>-978535</wp:posOffset>
                </wp:positionH>
                <wp:positionV relativeFrom="paragraph">
                  <wp:posOffset>-756920</wp:posOffset>
                </wp:positionV>
                <wp:extent cx="76200" cy="8343900"/>
                <wp:effectExtent l="19050" t="0" r="1905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11B" w:rsidRPr="004512A9" w:rsidRDefault="009F411B" w:rsidP="00C627DF"/>
                          <w:p w:rsidR="009F411B" w:rsidRPr="004512A9" w:rsidRDefault="009F411B" w:rsidP="00C627DF"/>
                          <w:p w:rsidR="009F411B" w:rsidRPr="004512A9" w:rsidRDefault="009F411B" w:rsidP="00C627DF">
                            <w:r w:rsidRPr="004512A9">
                              <w:t xml:space="preserve">© Copyright Envision – Corporation.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t>
                            </w:r>
                            <w:proofErr w:type="gramStart"/>
                            <w:r w:rsidRPr="004512A9">
                              <w:t>WILL AUTOMATICALLY BE SUED</w:t>
                            </w:r>
                            <w:proofErr w:type="gramEnd"/>
                            <w:r w:rsidRPr="004512A9">
                              <w:t xml:space="preserve"> IN A COURT OF LAW.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A1897" id="Text Box 4" o:spid="_x0000_s1027" type="#_x0000_t202" style="position:absolute;left:0;text-align:left;margin-left:-77.05pt;margin-top:-59.6pt;width:6pt;height:6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" filled="f" stroked="f">
                <v:textbox style="layout-flow:vertical;mso-layout-flow-alt:bottom-to-top">
                  <w:txbxContent>
                    <w:p w:rsidR="009F411B" w:rsidRPr="004512A9" w:rsidRDefault="009F411B" w:rsidP="00C627DF"/>
                    <w:p w:rsidR="009F411B" w:rsidRPr="004512A9" w:rsidRDefault="009F411B" w:rsidP="00C627DF"/>
                    <w:p w:rsidR="009F411B" w:rsidRPr="004512A9" w:rsidRDefault="009F411B" w:rsidP="00C627DF">
                      <w:r w:rsidRPr="004512A9">
                        <w:t xml:space="preserve">© Copyright Envision – Corporation.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t>
                      </w:r>
                      <w:proofErr w:type="gramStart"/>
                      <w:r w:rsidRPr="004512A9">
                        <w:t>WILL AUTOMATICALLY BE SUED</w:t>
                      </w:r>
                      <w:proofErr w:type="gramEnd"/>
                      <w:r w:rsidRPr="004512A9">
                        <w:t xml:space="preserve"> IN A COURT OF LAW.</w:t>
                      </w:r>
                    </w:p>
                  </w:txbxContent>
                </v:textbox>
              </v:shape>
            </w:pict>
          </mc:Fallback>
        </mc:AlternateContent>
      </w:r>
      <w:r w:rsidR="00E70B3D">
        <w:rPr>
          <w:rFonts w:ascii="Arial" w:hAnsi="Arial"/>
          <w:sz w:val="20"/>
          <w:szCs w:val="20"/>
          <w:lang w:val="fr-CA"/>
        </w:rPr>
        <w:t xml:space="preserve"> Le Plan de Travail Annuel 2021 est évalué dans le tableau ci- dessous suivi des commentaires </w:t>
      </w:r>
    </w:p>
    <w:p w:rsidR="00E70B3D" w:rsidRPr="001608E5" w:rsidRDefault="00E70B3D" w:rsidP="00E70B3D">
      <w:pPr>
        <w:spacing w:after="0" w:line="360" w:lineRule="auto"/>
        <w:jc w:val="both"/>
        <w:rPr>
          <w:rFonts w:ascii="Arial" w:hAnsi="Arial"/>
          <w:b/>
          <w:sz w:val="20"/>
          <w:szCs w:val="20"/>
          <w:u w:val="single"/>
          <w:lang w:val="fr-CA"/>
        </w:rPr>
      </w:pPr>
      <w:r w:rsidRPr="001608E5">
        <w:rPr>
          <w:rFonts w:ascii="Arial" w:hAnsi="Arial"/>
          <w:b/>
          <w:sz w:val="20"/>
          <w:szCs w:val="20"/>
          <w:u w:val="single"/>
          <w:lang w:val="fr-CA"/>
        </w:rPr>
        <w:t>Commentaires :</w:t>
      </w:r>
    </w:p>
    <w:p w:rsidR="00C627DF" w:rsidRPr="00500F29" w:rsidRDefault="00C627DF" w:rsidP="00964112">
      <w:pPr>
        <w:pStyle w:val="Paragraphedeliste"/>
        <w:numPr>
          <w:ilvl w:val="0"/>
          <w:numId w:val="21"/>
        </w:numPr>
        <w:spacing w:before="0" w:after="0" w:line="276" w:lineRule="auto"/>
        <w:contextualSpacing/>
        <w:jc w:val="both"/>
        <w:rPr>
          <w:b/>
          <w:sz w:val="24"/>
          <w:lang w:val="fr-CA"/>
        </w:rPr>
      </w:pPr>
      <w:r w:rsidRPr="00500F29">
        <w:rPr>
          <w:b/>
          <w:sz w:val="24"/>
          <w:lang w:val="fr-CA"/>
        </w:rPr>
        <w:t>Axe 1 : Production et publication de rapport ITIE 2019 – 2020</w:t>
      </w:r>
    </w:p>
    <w:p w:rsidR="00C627DF" w:rsidRPr="00500F29" w:rsidRDefault="00C627DF" w:rsidP="00C627DF">
      <w:pPr>
        <w:spacing w:after="0"/>
        <w:jc w:val="both"/>
        <w:rPr>
          <w:sz w:val="24"/>
          <w:lang w:val="fr-CA"/>
        </w:rPr>
      </w:pPr>
      <w:r w:rsidRPr="00500F29">
        <w:rPr>
          <w:sz w:val="24"/>
          <w:lang w:val="fr-CA"/>
        </w:rPr>
        <w:lastRenderedPageBreak/>
        <w:t xml:space="preserve">Sept activités étaient prévues sur cet axe. Elles concernent principalement les engagements pris par le HCN pour corriger les problématiques d’exhaustivité et de fiabilité constatées dans le rapport 2018, les activités relatives aux rapports de cadrage et celles d’élaboration des rapports 2019 et 2020. Seul l’engagement du HCN a été réalisé sur les activités prévues. Le rapport2019 a commencé avec beaucoup de retards par rapport au calendrier prévu. Le retard est dû à une lenteur dans le processus d’attribution de marché public. Le rapport a commencé en novembre c’est ce qui n’a pas permis d’avoir le temps nécessaire pour les études de cadrage. </w:t>
      </w:r>
    </w:p>
    <w:p w:rsidR="00C627DF" w:rsidRPr="00500F29" w:rsidRDefault="00C627DF" w:rsidP="00C627DF">
      <w:pPr>
        <w:spacing w:after="0"/>
        <w:jc w:val="both"/>
        <w:rPr>
          <w:sz w:val="24"/>
          <w:lang w:val="fr-CA"/>
        </w:rPr>
      </w:pPr>
      <w:r w:rsidRPr="00500F29">
        <w:rPr>
          <w:sz w:val="24"/>
          <w:lang w:val="fr-CA"/>
        </w:rPr>
        <w:t>Le taux de réalisation sur l’axe est de 14%.</w:t>
      </w:r>
      <w:r w:rsidR="00E70B3D" w:rsidRPr="00500F29">
        <w:rPr>
          <w:sz w:val="24"/>
          <w:lang w:val="fr-CA"/>
        </w:rPr>
        <w:t xml:space="preserve"> </w:t>
      </w:r>
    </w:p>
    <w:p w:rsidR="00E70B3D" w:rsidRPr="00500F29" w:rsidRDefault="00E70B3D" w:rsidP="00C627DF">
      <w:pPr>
        <w:spacing w:after="0"/>
        <w:jc w:val="both"/>
        <w:rPr>
          <w:sz w:val="24"/>
          <w:lang w:val="fr-CA"/>
        </w:rPr>
      </w:pPr>
    </w:p>
    <w:p w:rsidR="00C627DF" w:rsidRPr="00500F29" w:rsidRDefault="00C627DF" w:rsidP="00964112">
      <w:pPr>
        <w:pStyle w:val="Paragraphedeliste"/>
        <w:numPr>
          <w:ilvl w:val="0"/>
          <w:numId w:val="21"/>
        </w:numPr>
        <w:spacing w:before="0" w:after="0" w:line="276" w:lineRule="auto"/>
        <w:contextualSpacing/>
        <w:jc w:val="both"/>
        <w:rPr>
          <w:b/>
          <w:sz w:val="24"/>
          <w:lang w:val="fr-CA"/>
        </w:rPr>
      </w:pPr>
      <w:r w:rsidRPr="00500F29">
        <w:rPr>
          <w:b/>
          <w:sz w:val="24"/>
          <w:lang w:val="fr-CA"/>
        </w:rPr>
        <w:t>Axe 2 : Dissémination de rapports ITIE-Tchad</w:t>
      </w:r>
    </w:p>
    <w:p w:rsidR="00C627DF" w:rsidRPr="00500F29" w:rsidRDefault="00C627DF" w:rsidP="00C627DF">
      <w:pPr>
        <w:spacing w:after="0"/>
        <w:jc w:val="both"/>
        <w:rPr>
          <w:sz w:val="24"/>
        </w:rPr>
      </w:pPr>
      <w:r w:rsidRPr="00500F29">
        <w:rPr>
          <w:sz w:val="24"/>
          <w:lang w:val="fr-CA"/>
        </w:rPr>
        <w:t xml:space="preserve">Aucune activité prévue sur cet n’a été réalisée. Cela est dû essentiellement aux manques de ressources financières. </w:t>
      </w:r>
      <w:r w:rsidRPr="00500F29">
        <w:rPr>
          <w:sz w:val="24"/>
        </w:rPr>
        <w:t xml:space="preserve">Le </w:t>
      </w:r>
      <w:proofErr w:type="spellStart"/>
      <w:r w:rsidRPr="00500F29">
        <w:rPr>
          <w:sz w:val="24"/>
        </w:rPr>
        <w:t>taux</w:t>
      </w:r>
      <w:proofErr w:type="spellEnd"/>
      <w:r w:rsidRPr="00500F29">
        <w:rPr>
          <w:sz w:val="24"/>
        </w:rPr>
        <w:t xml:space="preserve"> de </w:t>
      </w:r>
      <w:proofErr w:type="spellStart"/>
      <w:r w:rsidRPr="00500F29">
        <w:rPr>
          <w:sz w:val="24"/>
        </w:rPr>
        <w:t>réalisation</w:t>
      </w:r>
      <w:proofErr w:type="spellEnd"/>
      <w:r w:rsidRPr="00500F29">
        <w:rPr>
          <w:sz w:val="24"/>
        </w:rPr>
        <w:t xml:space="preserve"> de </w:t>
      </w:r>
      <w:proofErr w:type="spellStart"/>
      <w:r w:rsidRPr="00500F29">
        <w:rPr>
          <w:sz w:val="24"/>
        </w:rPr>
        <w:t>l’axe</w:t>
      </w:r>
      <w:proofErr w:type="spellEnd"/>
      <w:r w:rsidRPr="00500F29">
        <w:rPr>
          <w:sz w:val="24"/>
        </w:rPr>
        <w:t xml:space="preserve"> </w:t>
      </w:r>
      <w:proofErr w:type="spellStart"/>
      <w:proofErr w:type="gramStart"/>
      <w:r w:rsidRPr="00500F29">
        <w:rPr>
          <w:sz w:val="24"/>
        </w:rPr>
        <w:t>est</w:t>
      </w:r>
      <w:proofErr w:type="spellEnd"/>
      <w:proofErr w:type="gramEnd"/>
      <w:r w:rsidRPr="00500F29">
        <w:rPr>
          <w:sz w:val="24"/>
        </w:rPr>
        <w:t xml:space="preserve"> de 0%.</w:t>
      </w:r>
    </w:p>
    <w:p w:rsidR="00E70B3D" w:rsidRPr="00500F29" w:rsidRDefault="00E70B3D" w:rsidP="00C627DF">
      <w:pPr>
        <w:spacing w:after="0"/>
        <w:jc w:val="both"/>
        <w:rPr>
          <w:sz w:val="24"/>
        </w:rPr>
      </w:pPr>
    </w:p>
    <w:p w:rsidR="00C627DF" w:rsidRPr="00500F29" w:rsidRDefault="00C627DF" w:rsidP="00964112">
      <w:pPr>
        <w:pStyle w:val="Paragraphedeliste"/>
        <w:numPr>
          <w:ilvl w:val="0"/>
          <w:numId w:val="21"/>
        </w:numPr>
        <w:spacing w:before="0" w:after="0" w:line="276" w:lineRule="auto"/>
        <w:contextualSpacing/>
        <w:jc w:val="both"/>
        <w:rPr>
          <w:b/>
          <w:sz w:val="24"/>
          <w:lang w:val="fr-CA"/>
        </w:rPr>
      </w:pPr>
      <w:r w:rsidRPr="00500F29">
        <w:rPr>
          <w:b/>
          <w:sz w:val="24"/>
          <w:lang w:val="fr-CA"/>
        </w:rPr>
        <w:t>Axe 3 : Activités spécifiques de mise en œuvre</w:t>
      </w:r>
    </w:p>
    <w:p w:rsidR="00C627DF" w:rsidRPr="00500F29" w:rsidRDefault="00C627DF" w:rsidP="00C627DF">
      <w:pPr>
        <w:spacing w:after="0"/>
        <w:jc w:val="both"/>
        <w:rPr>
          <w:sz w:val="24"/>
          <w:lang w:val="fr-CA"/>
        </w:rPr>
      </w:pPr>
      <w:r w:rsidRPr="00500F29">
        <w:rPr>
          <w:sz w:val="24"/>
          <w:lang w:val="fr-CA"/>
        </w:rPr>
        <w:t xml:space="preserve">Huit activités étaient prévues sur cet axe. Elles concernent les mesures correctives issues de la validation de 2018, des activités relatives à feuille de route sur la propriété effective financées par l’Union Européenne, et le projet de pérennisation </w:t>
      </w:r>
      <w:proofErr w:type="gramStart"/>
      <w:r w:rsidRPr="00500F29">
        <w:rPr>
          <w:sz w:val="24"/>
          <w:lang w:val="fr-CA"/>
        </w:rPr>
        <w:t>de ITIE-Tchad</w:t>
      </w:r>
      <w:proofErr w:type="gramEnd"/>
      <w:r w:rsidRPr="00500F29">
        <w:rPr>
          <w:sz w:val="24"/>
          <w:lang w:val="fr-CA"/>
        </w:rPr>
        <w:t xml:space="preserve"> financé par la Banque Mondiale.</w:t>
      </w:r>
    </w:p>
    <w:p w:rsidR="00C627DF" w:rsidRPr="00500F29" w:rsidRDefault="00C627DF" w:rsidP="00C627DF">
      <w:pPr>
        <w:jc w:val="both"/>
        <w:rPr>
          <w:sz w:val="24"/>
          <w:lang w:val="fr-CA"/>
        </w:rPr>
      </w:pPr>
      <w:r w:rsidRPr="00500F29">
        <w:rPr>
          <w:sz w:val="24"/>
          <w:lang w:val="fr-CA"/>
        </w:rPr>
        <w:t>Les études sur les 4 composantes du projet de pérennisation ont été complètement réalisées. Elles ont donné lieu à des recommandations qui nécessitent d’être mise en œuvre pour que le projet remplisse pleinement son objectif. Ces recommandations ont été reprises dans le plan de travail annuel 2022. Le HCN recherche en ce moment un financement pour leur exécution.</w:t>
      </w:r>
    </w:p>
    <w:p w:rsidR="00C627DF" w:rsidRPr="00500F29" w:rsidRDefault="00C627DF" w:rsidP="00C627DF">
      <w:pPr>
        <w:jc w:val="both"/>
        <w:rPr>
          <w:sz w:val="24"/>
          <w:lang w:val="fr-CA"/>
        </w:rPr>
      </w:pPr>
      <w:r w:rsidRPr="00500F29">
        <w:rPr>
          <w:sz w:val="24"/>
          <w:lang w:val="fr-CA"/>
        </w:rPr>
        <w:t xml:space="preserve">Le projet relatif à la feuille sur la propriété effective lancée en 2020 a connu un grand retard dû essentiellement à la pandémie </w:t>
      </w:r>
      <w:proofErr w:type="spellStart"/>
      <w:r w:rsidRPr="00500F29">
        <w:rPr>
          <w:sz w:val="24"/>
          <w:lang w:val="fr-CA"/>
        </w:rPr>
        <w:t>covid</w:t>
      </w:r>
      <w:proofErr w:type="spellEnd"/>
      <w:r w:rsidRPr="00500F29">
        <w:rPr>
          <w:sz w:val="24"/>
          <w:lang w:val="fr-CA"/>
        </w:rPr>
        <w:t xml:space="preserve"> avec son corollaire de restriction de voyages et de rassemblement de personnes dans les espaces publics. La première phase du projet portant sur le cadrage et la proposition des définitions a été réalisée. Il reste maintenant à réaliser les deux dernières phases du projet. Ces phases sont reportées dans le plan de travail 2022.</w:t>
      </w:r>
    </w:p>
    <w:p w:rsidR="00C627DF" w:rsidRPr="00500F29" w:rsidRDefault="00C627DF" w:rsidP="00C627DF">
      <w:pPr>
        <w:jc w:val="both"/>
        <w:rPr>
          <w:sz w:val="24"/>
          <w:lang w:val="fr-CA"/>
        </w:rPr>
      </w:pPr>
      <w:r w:rsidRPr="00500F29">
        <w:rPr>
          <w:sz w:val="24"/>
          <w:lang w:val="fr-CA"/>
        </w:rPr>
        <w:t xml:space="preserve">Le taux de réalisation des activités sur l’axe est de 50%. </w:t>
      </w:r>
    </w:p>
    <w:p w:rsidR="00C627DF" w:rsidRPr="00500F29" w:rsidRDefault="00C627DF" w:rsidP="00964112">
      <w:pPr>
        <w:pStyle w:val="Paragraphedeliste"/>
        <w:numPr>
          <w:ilvl w:val="0"/>
          <w:numId w:val="21"/>
        </w:numPr>
        <w:spacing w:before="0" w:after="0" w:line="276" w:lineRule="auto"/>
        <w:contextualSpacing/>
        <w:jc w:val="both"/>
        <w:rPr>
          <w:b/>
          <w:sz w:val="24"/>
        </w:rPr>
      </w:pPr>
      <w:r w:rsidRPr="00500F29">
        <w:rPr>
          <w:b/>
          <w:sz w:val="24"/>
        </w:rPr>
        <w:t>Axe 4 : Validation</w:t>
      </w:r>
    </w:p>
    <w:p w:rsidR="00C627DF" w:rsidRPr="00500F29" w:rsidRDefault="00C627DF" w:rsidP="00C627DF">
      <w:pPr>
        <w:spacing w:after="0"/>
        <w:jc w:val="both"/>
        <w:rPr>
          <w:sz w:val="24"/>
          <w:lang w:val="fr-CA"/>
        </w:rPr>
      </w:pPr>
      <w:r w:rsidRPr="00500F29">
        <w:rPr>
          <w:sz w:val="24"/>
          <w:lang w:val="fr-CA"/>
        </w:rPr>
        <w:t xml:space="preserve">Deux activités étaient prévues sur cet axe. Il s’agit de l’atelier de pré validation et les activités relatives au remplissage des trois fichiers de validation. Les activités relatives aux renseignements des formulaires ont commencé avec le démarrage du rapport ITIE-Tchad </w:t>
      </w:r>
      <w:proofErr w:type="gramStart"/>
      <w:r w:rsidRPr="00500F29">
        <w:rPr>
          <w:sz w:val="24"/>
          <w:lang w:val="fr-CA"/>
        </w:rPr>
        <w:t>2019  en</w:t>
      </w:r>
      <w:proofErr w:type="gramEnd"/>
      <w:r w:rsidRPr="00500F29">
        <w:rPr>
          <w:sz w:val="24"/>
          <w:lang w:val="fr-CA"/>
        </w:rPr>
        <w:t xml:space="preserve"> novembre 2021. Elles sont clôturées en mars 2022.</w:t>
      </w:r>
    </w:p>
    <w:p w:rsidR="00C627DF" w:rsidRPr="00500F29" w:rsidRDefault="00C627DF" w:rsidP="00C627DF">
      <w:pPr>
        <w:jc w:val="both"/>
        <w:rPr>
          <w:sz w:val="24"/>
          <w:lang w:val="fr-CA"/>
        </w:rPr>
      </w:pPr>
      <w:r w:rsidRPr="00500F29">
        <w:rPr>
          <w:sz w:val="24"/>
          <w:lang w:val="fr-CA"/>
        </w:rPr>
        <w:t>L’activité relative à l’organisation d’un atelier de pré validation en vue d’une meilleure préparation à la validation du 1</w:t>
      </w:r>
      <w:r w:rsidRPr="00500F29">
        <w:rPr>
          <w:sz w:val="24"/>
          <w:vertAlign w:val="superscript"/>
          <w:lang w:val="fr-CA"/>
        </w:rPr>
        <w:t>er</w:t>
      </w:r>
      <w:r w:rsidRPr="00500F29">
        <w:rPr>
          <w:sz w:val="24"/>
          <w:lang w:val="fr-CA"/>
        </w:rPr>
        <w:t xml:space="preserve"> avril 2022 n’a pas pu se faire à cause de ressources insuffisantes.</w:t>
      </w:r>
    </w:p>
    <w:p w:rsidR="00C627DF" w:rsidRPr="00500F29" w:rsidRDefault="00C627DF" w:rsidP="00C627DF">
      <w:pPr>
        <w:jc w:val="both"/>
        <w:rPr>
          <w:sz w:val="24"/>
          <w:lang w:val="fr-CA"/>
        </w:rPr>
      </w:pPr>
      <w:r w:rsidRPr="00500F29">
        <w:rPr>
          <w:sz w:val="24"/>
          <w:lang w:val="fr-CA"/>
        </w:rPr>
        <w:t>Le taux de réalisation des activités sur l’axe est de 50%.</w:t>
      </w:r>
    </w:p>
    <w:p w:rsidR="00C627DF" w:rsidRPr="00500F29" w:rsidRDefault="00C627DF" w:rsidP="00964112">
      <w:pPr>
        <w:pStyle w:val="Paragraphedeliste"/>
        <w:numPr>
          <w:ilvl w:val="0"/>
          <w:numId w:val="21"/>
        </w:numPr>
        <w:spacing w:before="0" w:after="0" w:line="276" w:lineRule="auto"/>
        <w:contextualSpacing/>
        <w:jc w:val="both"/>
        <w:rPr>
          <w:b/>
          <w:sz w:val="24"/>
        </w:rPr>
      </w:pPr>
      <w:r w:rsidRPr="00500F29">
        <w:rPr>
          <w:b/>
          <w:sz w:val="24"/>
        </w:rPr>
        <w:lastRenderedPageBreak/>
        <w:t xml:space="preserve">Axe 5 : </w:t>
      </w:r>
      <w:proofErr w:type="spellStart"/>
      <w:r w:rsidRPr="00500F29">
        <w:rPr>
          <w:b/>
          <w:sz w:val="24"/>
        </w:rPr>
        <w:t>Renforcement</w:t>
      </w:r>
      <w:proofErr w:type="spellEnd"/>
      <w:r w:rsidRPr="00500F29">
        <w:rPr>
          <w:b/>
          <w:sz w:val="24"/>
        </w:rPr>
        <w:t xml:space="preserve"> de </w:t>
      </w:r>
      <w:proofErr w:type="spellStart"/>
      <w:r w:rsidRPr="00500F29">
        <w:rPr>
          <w:b/>
          <w:sz w:val="24"/>
        </w:rPr>
        <w:t>capacité</w:t>
      </w:r>
      <w:proofErr w:type="spellEnd"/>
      <w:r w:rsidR="00CF2919">
        <w:rPr>
          <w:b/>
          <w:sz w:val="24"/>
        </w:rPr>
        <w:t xml:space="preserve"> </w:t>
      </w:r>
    </w:p>
    <w:p w:rsidR="00C627DF" w:rsidRPr="00500F29" w:rsidRDefault="00C627DF" w:rsidP="00C627DF">
      <w:pPr>
        <w:spacing w:after="0"/>
        <w:jc w:val="both"/>
        <w:rPr>
          <w:sz w:val="24"/>
          <w:lang w:val="fr-CA"/>
        </w:rPr>
      </w:pPr>
      <w:r w:rsidRPr="00500F29">
        <w:rPr>
          <w:sz w:val="24"/>
          <w:lang w:val="fr-CA"/>
        </w:rPr>
        <w:t xml:space="preserve">Il était prévu sur cet axe : d’élaborer un plan de formation des acteurs de mise en œuvre, de doter en matériels et équipements de bureau les membres du HCN et du STP, enfin de permettre à ces derniers de suivre les </w:t>
      </w:r>
      <w:proofErr w:type="spellStart"/>
      <w:r w:rsidRPr="00500F29">
        <w:rPr>
          <w:sz w:val="24"/>
          <w:lang w:val="fr-CA"/>
        </w:rPr>
        <w:t>wébinaires</w:t>
      </w:r>
      <w:proofErr w:type="spellEnd"/>
      <w:r w:rsidRPr="00500F29">
        <w:rPr>
          <w:sz w:val="24"/>
          <w:lang w:val="fr-CA"/>
        </w:rPr>
        <w:t xml:space="preserve"> organisés par le Secrétariat International. Les deux premières activités n’ont pas pu être réalisées faute moyens financiers disponibles. Les membres du HCN et STP ont cependant assisté aux séances de formation organisées par le Secrétariat International.</w:t>
      </w:r>
    </w:p>
    <w:p w:rsidR="00C627DF" w:rsidRPr="00500F29" w:rsidRDefault="00C627DF" w:rsidP="00C627DF">
      <w:pPr>
        <w:jc w:val="both"/>
        <w:rPr>
          <w:sz w:val="24"/>
          <w:lang w:val="fr-CA"/>
        </w:rPr>
      </w:pPr>
      <w:r w:rsidRPr="00500F29">
        <w:rPr>
          <w:sz w:val="24"/>
          <w:lang w:val="fr-CA"/>
        </w:rPr>
        <w:t xml:space="preserve">Le taux de réalisation des </w:t>
      </w:r>
      <w:r w:rsidR="00500F29" w:rsidRPr="00500F29">
        <w:rPr>
          <w:sz w:val="24"/>
          <w:lang w:val="fr-CA"/>
        </w:rPr>
        <w:t>activités sur l’axe est de 33%.</w:t>
      </w:r>
    </w:p>
    <w:p w:rsidR="00C627DF" w:rsidRPr="00500F29" w:rsidRDefault="00C627DF" w:rsidP="00964112">
      <w:pPr>
        <w:pStyle w:val="Paragraphedeliste"/>
        <w:numPr>
          <w:ilvl w:val="0"/>
          <w:numId w:val="21"/>
        </w:numPr>
        <w:spacing w:before="0" w:after="0" w:line="276" w:lineRule="auto"/>
        <w:contextualSpacing/>
        <w:jc w:val="both"/>
        <w:rPr>
          <w:b/>
          <w:sz w:val="24"/>
          <w:lang w:val="fr-CA"/>
        </w:rPr>
      </w:pPr>
      <w:r w:rsidRPr="00500F29">
        <w:rPr>
          <w:b/>
          <w:sz w:val="24"/>
          <w:lang w:val="fr-CA"/>
        </w:rPr>
        <w:t>Axe 6 : Suivi de mise en œuvre et financement</w:t>
      </w:r>
    </w:p>
    <w:p w:rsidR="00C627DF" w:rsidRPr="00500F29" w:rsidRDefault="00C627DF" w:rsidP="00C627DF">
      <w:pPr>
        <w:spacing w:after="0"/>
        <w:jc w:val="both"/>
        <w:rPr>
          <w:sz w:val="24"/>
          <w:lang w:val="fr-CA"/>
        </w:rPr>
      </w:pPr>
      <w:r w:rsidRPr="00500F29">
        <w:rPr>
          <w:sz w:val="24"/>
          <w:lang w:val="fr-CA"/>
        </w:rPr>
        <w:t>Sur cet axe deux activités ont été pleinement réalisées : les quatre sessions statutaires du HCN ainsi que le fonctionnement régulier du Secrétariat Technique Permanent.</w:t>
      </w:r>
    </w:p>
    <w:p w:rsidR="00C627DF" w:rsidRPr="00500F29" w:rsidRDefault="00C627DF" w:rsidP="00C627DF">
      <w:pPr>
        <w:jc w:val="both"/>
        <w:rPr>
          <w:sz w:val="24"/>
          <w:lang w:val="fr-CA"/>
        </w:rPr>
      </w:pPr>
      <w:r w:rsidRPr="00500F29">
        <w:rPr>
          <w:sz w:val="24"/>
          <w:lang w:val="fr-CA"/>
        </w:rPr>
        <w:t>Trois activités ont été lancées, deux ont été finalisées en mars 2022. Il s’agit de : l’élaboration du rapport d’avancement et de la révision du plan de travail annuel.</w:t>
      </w:r>
    </w:p>
    <w:p w:rsidR="00C627DF" w:rsidRPr="00500F29" w:rsidRDefault="00C627DF" w:rsidP="00C627DF">
      <w:pPr>
        <w:jc w:val="both"/>
        <w:rPr>
          <w:sz w:val="24"/>
          <w:lang w:val="fr-CA"/>
        </w:rPr>
      </w:pPr>
      <w:r w:rsidRPr="00500F29">
        <w:rPr>
          <w:sz w:val="24"/>
          <w:lang w:val="fr-CA"/>
        </w:rPr>
        <w:t>L’activité relative à la mise en œuvre des recommandations des rapports antérieurs est toujours en cours. Celle-ci est reprise dans le plan de travail annuel 2022.</w:t>
      </w:r>
    </w:p>
    <w:p w:rsidR="00C627DF" w:rsidRPr="00500F29" w:rsidRDefault="00C627DF" w:rsidP="00C627DF">
      <w:pPr>
        <w:jc w:val="both"/>
        <w:rPr>
          <w:sz w:val="24"/>
          <w:lang w:val="fr-CA"/>
        </w:rPr>
      </w:pPr>
      <w:r w:rsidRPr="00500F29">
        <w:rPr>
          <w:sz w:val="24"/>
          <w:lang w:val="fr-CA"/>
        </w:rPr>
        <w:t>L’activité relative à l’étude pour une mise en place d’un mécanisme de financement pérenne n’a pu être lancée faute de ressources financières disponibles. Elle est reconduite dans le plan de travail annuel 2022.</w:t>
      </w:r>
    </w:p>
    <w:p w:rsidR="00C627DF" w:rsidRPr="00500F29" w:rsidRDefault="00C627DF" w:rsidP="00C627DF">
      <w:pPr>
        <w:pBdr>
          <w:top w:val="single" w:sz="4" w:space="1" w:color="auto"/>
          <w:left w:val="single" w:sz="4" w:space="4" w:color="auto"/>
          <w:bottom w:val="single" w:sz="4" w:space="1" w:color="auto"/>
          <w:right w:val="single" w:sz="4" w:space="4" w:color="auto"/>
        </w:pBdr>
        <w:spacing w:after="0"/>
        <w:jc w:val="both"/>
        <w:rPr>
          <w:sz w:val="24"/>
          <w:lang w:val="fr-CA"/>
        </w:rPr>
      </w:pPr>
      <w:r w:rsidRPr="00500F29">
        <w:rPr>
          <w:b/>
          <w:sz w:val="24"/>
          <w:lang w:val="fr-CA"/>
        </w:rPr>
        <w:t>Commentaire général :</w:t>
      </w:r>
      <w:r w:rsidRPr="00500F29">
        <w:rPr>
          <w:sz w:val="24"/>
          <w:lang w:val="fr-CA"/>
        </w:rPr>
        <w:t xml:space="preserve"> Le taux de réalisation global du plan de travail annuel 2021 est de 55%.</w:t>
      </w:r>
    </w:p>
    <w:p w:rsidR="00C627DF" w:rsidRPr="00500F29" w:rsidRDefault="00C627DF" w:rsidP="00C627DF">
      <w:pPr>
        <w:pBdr>
          <w:top w:val="single" w:sz="4" w:space="1" w:color="auto"/>
          <w:left w:val="single" w:sz="4" w:space="4" w:color="auto"/>
          <w:bottom w:val="single" w:sz="4" w:space="1" w:color="auto"/>
          <w:right w:val="single" w:sz="4" w:space="4" w:color="auto"/>
        </w:pBdr>
        <w:spacing w:after="0"/>
        <w:jc w:val="both"/>
        <w:rPr>
          <w:sz w:val="24"/>
          <w:lang w:val="fr-CA"/>
        </w:rPr>
      </w:pPr>
      <w:r w:rsidRPr="00500F29">
        <w:rPr>
          <w:sz w:val="24"/>
          <w:lang w:val="fr-CA"/>
        </w:rPr>
        <w:t xml:space="preserve">La subvention affectée à la mise œuvre de l’ITIE demeure insuffisante. Outre cela elle n’est pas disponible à temps pour le financement des activités opérationnelles. Cette situation affecte le fonctionnement </w:t>
      </w:r>
      <w:proofErr w:type="gramStart"/>
      <w:r w:rsidRPr="00500F29">
        <w:rPr>
          <w:sz w:val="24"/>
          <w:lang w:val="fr-CA"/>
        </w:rPr>
        <w:t>général  de</w:t>
      </w:r>
      <w:proofErr w:type="gramEnd"/>
      <w:r w:rsidRPr="00500F29">
        <w:rPr>
          <w:sz w:val="24"/>
          <w:lang w:val="fr-CA"/>
        </w:rPr>
        <w:t xml:space="preserve"> l’entité ITIE-Tchad, la mobilisation des acteurs et respect des échéances de divulgation. </w:t>
      </w:r>
    </w:p>
    <w:p w:rsidR="00C627DF" w:rsidRPr="00500F29" w:rsidRDefault="00C627DF" w:rsidP="00C627DF">
      <w:pPr>
        <w:jc w:val="both"/>
        <w:rPr>
          <w:sz w:val="24"/>
          <w:lang w:val="fr-CA"/>
        </w:rPr>
      </w:pPr>
    </w:p>
    <w:p w:rsidR="001608E5" w:rsidRDefault="001608E5" w:rsidP="001608E5">
      <w:pPr>
        <w:spacing w:after="0" w:line="360" w:lineRule="auto"/>
        <w:jc w:val="both"/>
        <w:rPr>
          <w:rFonts w:ascii="Arial" w:hAnsi="Arial"/>
          <w:sz w:val="24"/>
          <w:lang w:val="fr-CA"/>
        </w:rPr>
      </w:pPr>
      <w:r w:rsidRPr="00C627DF">
        <w:rPr>
          <w:rFonts w:ascii="Arial" w:hAnsi="Arial"/>
          <w:b/>
          <w:sz w:val="20"/>
          <w:szCs w:val="20"/>
          <w:lang w:val="fr-CA"/>
        </w:rPr>
        <w:t>Annexe</w:t>
      </w:r>
      <w:r>
        <w:rPr>
          <w:rFonts w:ascii="Arial" w:hAnsi="Arial"/>
          <w:sz w:val="20"/>
          <w:szCs w:val="20"/>
          <w:lang w:val="fr-CA"/>
        </w:rPr>
        <w:t>2</w:t>
      </w:r>
      <w:r w:rsidRPr="00C627DF">
        <w:rPr>
          <w:rFonts w:ascii="Arial" w:hAnsi="Arial"/>
          <w:sz w:val="20"/>
          <w:szCs w:val="20"/>
          <w:lang w:val="fr-CA"/>
        </w:rPr>
        <w:t xml:space="preserve"> / le détail des activités souscrites dan</w:t>
      </w:r>
      <w:r>
        <w:rPr>
          <w:rFonts w:ascii="Arial" w:hAnsi="Arial"/>
          <w:sz w:val="20"/>
          <w:szCs w:val="20"/>
          <w:lang w:val="fr-CA"/>
        </w:rPr>
        <w:t xml:space="preserve">s le Plan de Travail </w:t>
      </w:r>
      <w:proofErr w:type="gramStart"/>
      <w:r>
        <w:rPr>
          <w:rFonts w:ascii="Arial" w:hAnsi="Arial"/>
          <w:sz w:val="20"/>
          <w:szCs w:val="20"/>
          <w:lang w:val="fr-CA"/>
        </w:rPr>
        <w:t>Annuel  2021</w:t>
      </w:r>
      <w:proofErr w:type="gramEnd"/>
      <w:r>
        <w:rPr>
          <w:rFonts w:ascii="Arial" w:hAnsi="Arial"/>
          <w:sz w:val="20"/>
          <w:szCs w:val="20"/>
          <w:lang w:val="fr-CA"/>
        </w:rPr>
        <w:t xml:space="preserve">  </w:t>
      </w:r>
      <w:r w:rsidRPr="00C627DF">
        <w:rPr>
          <w:rFonts w:ascii="Arial" w:hAnsi="Arial"/>
          <w:sz w:val="24"/>
          <w:lang w:val="fr-CA"/>
        </w:rPr>
        <w:t xml:space="preserve">  </w:t>
      </w:r>
    </w:p>
    <w:p w:rsidR="00C627DF" w:rsidRDefault="003B03A5" w:rsidP="00500F29">
      <w:pPr>
        <w:rPr>
          <w:rFonts w:eastAsia="Times New Roman"/>
          <w:color w:val="002060"/>
          <w:sz w:val="24"/>
          <w:lang w:val="fr-CA"/>
        </w:rPr>
      </w:pPr>
      <w:r w:rsidRPr="003B03A5">
        <w:rPr>
          <w:rFonts w:eastAsia="Times New Roman"/>
          <w:color w:val="002060"/>
          <w:sz w:val="24"/>
          <w:lang w:val="fr-CA"/>
        </w:rPr>
        <w:t>https://itie-chad.org/wp-content/uploads/2021/12/Plan-de-travail-2021-ITIE-Tchad-1-15032021.docx</w:t>
      </w:r>
    </w:p>
    <w:p w:rsidR="003B03A5" w:rsidRPr="00500F29" w:rsidRDefault="003B03A5" w:rsidP="00500F29">
      <w:pPr>
        <w:rPr>
          <w:rFonts w:eastAsia="Times New Roman"/>
          <w:color w:val="002060"/>
          <w:sz w:val="24"/>
          <w:lang w:val="fr-CA"/>
        </w:rPr>
        <w:sectPr w:rsidR="003B03A5" w:rsidRPr="00500F29" w:rsidSect="009F411B">
          <w:footerReference w:type="first" r:id="rId16"/>
          <w:pgSz w:w="11906" w:h="16838" w:code="9"/>
          <w:pgMar w:top="1418" w:right="1418" w:bottom="1418" w:left="1418" w:header="709" w:footer="709" w:gutter="0"/>
          <w:pgNumType w:start="10"/>
          <w:cols w:space="708"/>
          <w:titlePg/>
          <w:docGrid w:linePitch="360"/>
        </w:sectPr>
      </w:pPr>
    </w:p>
    <w:p w:rsidR="00C627DF" w:rsidRPr="001608E5" w:rsidRDefault="00C627DF" w:rsidP="00C627DF">
      <w:pPr>
        <w:spacing w:after="0" w:line="480" w:lineRule="auto"/>
        <w:jc w:val="both"/>
        <w:rPr>
          <w:rFonts w:ascii="Arial" w:hAnsi="Arial"/>
          <w:sz w:val="24"/>
          <w:lang w:val="fr-CA"/>
        </w:rPr>
      </w:pPr>
    </w:p>
    <w:p w:rsidR="00C627DF" w:rsidRDefault="00C627DF" w:rsidP="00964112">
      <w:pPr>
        <w:pStyle w:val="Paragraphedeliste"/>
        <w:numPr>
          <w:ilvl w:val="0"/>
          <w:numId w:val="2"/>
        </w:numPr>
        <w:spacing w:before="0" w:after="0" w:line="276" w:lineRule="auto"/>
        <w:contextualSpacing/>
        <w:rPr>
          <w:b/>
          <w:color w:val="000000" w:themeColor="text1"/>
          <w:sz w:val="32"/>
          <w:szCs w:val="32"/>
          <w:lang w:val="fr-CA"/>
        </w:rPr>
      </w:pPr>
      <w:r w:rsidRPr="00C627DF">
        <w:rPr>
          <w:b/>
          <w:color w:val="000000" w:themeColor="text1"/>
          <w:sz w:val="32"/>
          <w:szCs w:val="32"/>
          <w:u w:val="single"/>
          <w:lang w:val="fr-CA"/>
        </w:rPr>
        <w:t>EVALUATION DES PERFORMANCES PAR RAPPORT AUX EXIGENCES DE LA NOUVELLE NORME 2019</w:t>
      </w:r>
      <w:r w:rsidRPr="00C627DF">
        <w:rPr>
          <w:b/>
          <w:color w:val="000000" w:themeColor="text1"/>
          <w:sz w:val="32"/>
          <w:szCs w:val="32"/>
          <w:lang w:val="fr-CA"/>
        </w:rPr>
        <w:t>.</w:t>
      </w:r>
    </w:p>
    <w:p w:rsidR="001608E5" w:rsidRPr="001608E5" w:rsidRDefault="001608E5" w:rsidP="001608E5">
      <w:pPr>
        <w:spacing w:before="0" w:after="0" w:line="276" w:lineRule="auto"/>
        <w:ind w:left="360"/>
        <w:contextualSpacing/>
        <w:rPr>
          <w:rFonts w:ascii="Arial" w:hAnsi="Arial"/>
          <w:color w:val="000000" w:themeColor="text1"/>
          <w:sz w:val="24"/>
          <w:lang w:val="fr-CA"/>
        </w:rPr>
      </w:pPr>
      <w:r>
        <w:rPr>
          <w:rFonts w:ascii="Arial" w:hAnsi="Arial"/>
          <w:color w:val="000000" w:themeColor="text1"/>
          <w:sz w:val="24"/>
          <w:lang w:val="fr-CA"/>
        </w:rPr>
        <w:t xml:space="preserve">En date du 24 Mars 2022, </w:t>
      </w:r>
      <w:r w:rsidRPr="001608E5">
        <w:rPr>
          <w:rFonts w:ascii="Arial" w:hAnsi="Arial"/>
          <w:color w:val="000000" w:themeColor="text1"/>
          <w:sz w:val="24"/>
          <w:lang w:val="fr-CA"/>
        </w:rPr>
        <w:t xml:space="preserve">Le HCN s’est attelé à faire cet exercice d’auto </w:t>
      </w:r>
      <w:r w:rsidR="001262F5">
        <w:rPr>
          <w:rFonts w:ascii="Arial" w:hAnsi="Arial"/>
          <w:color w:val="000000" w:themeColor="text1"/>
          <w:sz w:val="24"/>
          <w:lang w:val="fr-CA"/>
        </w:rPr>
        <w:t xml:space="preserve">évaluation de ses </w:t>
      </w:r>
      <w:proofErr w:type="gramStart"/>
      <w:r w:rsidR="001262F5">
        <w:rPr>
          <w:rFonts w:ascii="Arial" w:hAnsi="Arial"/>
          <w:color w:val="000000" w:themeColor="text1"/>
          <w:sz w:val="24"/>
          <w:lang w:val="fr-CA"/>
        </w:rPr>
        <w:t>performances  par</w:t>
      </w:r>
      <w:proofErr w:type="gramEnd"/>
      <w:r w:rsidR="001262F5">
        <w:rPr>
          <w:rFonts w:ascii="Arial" w:hAnsi="Arial"/>
          <w:color w:val="000000" w:themeColor="text1"/>
          <w:sz w:val="24"/>
          <w:lang w:val="fr-CA"/>
        </w:rPr>
        <w:t xml:space="preserve"> rapport aux Exigence de la Norme 2019/</w:t>
      </w:r>
    </w:p>
    <w:p w:rsidR="00C627DF" w:rsidRPr="004D76B2" w:rsidRDefault="00C627DF" w:rsidP="00C627DF">
      <w:pPr>
        <w:pStyle w:val="Lgende1"/>
        <w:keepNext/>
        <w:spacing w:after="0"/>
        <w:rPr>
          <w:rFonts w:ascii="Arial" w:hAnsi="Arial" w:cs="Arial"/>
          <w:color w:val="auto"/>
          <w:sz w:val="24"/>
          <w:szCs w:val="24"/>
        </w:rPr>
      </w:pPr>
      <w:bookmarkStart w:id="5" w:name="_Toc395855202"/>
      <w:r w:rsidRPr="004D76B2">
        <w:rPr>
          <w:rFonts w:ascii="Arial" w:hAnsi="Arial" w:cs="Arial"/>
          <w:color w:val="auto"/>
          <w:sz w:val="24"/>
          <w:szCs w:val="24"/>
        </w:rPr>
        <w:t xml:space="preserve">Tableau </w:t>
      </w:r>
      <w:r w:rsidRPr="004D76B2">
        <w:rPr>
          <w:rFonts w:ascii="Arial" w:hAnsi="Arial" w:cs="Arial"/>
          <w:color w:val="auto"/>
          <w:sz w:val="24"/>
          <w:szCs w:val="24"/>
        </w:rPr>
        <w:fldChar w:fldCharType="begin"/>
      </w:r>
      <w:r w:rsidRPr="004D76B2">
        <w:rPr>
          <w:rFonts w:ascii="Arial" w:hAnsi="Arial" w:cs="Arial"/>
          <w:color w:val="auto"/>
          <w:sz w:val="24"/>
          <w:szCs w:val="24"/>
        </w:rPr>
        <w:instrText xml:space="preserve"> SEQ Tableau \* ARABIC </w:instrText>
      </w:r>
      <w:r w:rsidRPr="004D76B2">
        <w:rPr>
          <w:rFonts w:ascii="Arial" w:hAnsi="Arial" w:cs="Arial"/>
          <w:color w:val="auto"/>
          <w:sz w:val="24"/>
          <w:szCs w:val="24"/>
        </w:rPr>
        <w:fldChar w:fldCharType="separate"/>
      </w:r>
      <w:r>
        <w:rPr>
          <w:rFonts w:ascii="Arial" w:hAnsi="Arial" w:cs="Arial"/>
          <w:noProof/>
          <w:color w:val="auto"/>
          <w:sz w:val="24"/>
          <w:szCs w:val="24"/>
        </w:rPr>
        <w:t>1</w:t>
      </w:r>
      <w:r w:rsidRPr="004D76B2">
        <w:rPr>
          <w:rFonts w:ascii="Arial" w:hAnsi="Arial" w:cs="Arial"/>
          <w:noProof/>
          <w:color w:val="auto"/>
          <w:sz w:val="24"/>
          <w:szCs w:val="24"/>
        </w:rPr>
        <w:fldChar w:fldCharType="end"/>
      </w:r>
      <w:r w:rsidRPr="004D76B2">
        <w:rPr>
          <w:rFonts w:ascii="Arial" w:hAnsi="Arial" w:cs="Arial"/>
          <w:color w:val="auto"/>
          <w:sz w:val="24"/>
          <w:szCs w:val="24"/>
        </w:rPr>
        <w:t> : Progrès accomplis selon les exigences ITIE</w:t>
      </w:r>
      <w:bookmarkEnd w:id="5"/>
      <w:r>
        <w:rPr>
          <w:rFonts w:ascii="Arial" w:hAnsi="Arial" w:cs="Arial"/>
          <w:color w:val="auto"/>
          <w:sz w:val="24"/>
          <w:szCs w:val="24"/>
        </w:rPr>
        <w:t xml:space="preserve"> </w:t>
      </w:r>
    </w:p>
    <w:tbl>
      <w:tblPr>
        <w:tblStyle w:val="Listeclaire-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658"/>
        <w:gridCol w:w="4592"/>
      </w:tblGrid>
      <w:tr w:rsidR="00C627DF" w:rsidRPr="004D76B2" w:rsidTr="009F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C627DF" w:rsidRPr="004D76B2" w:rsidRDefault="00C627DF" w:rsidP="009F411B">
            <w:pPr>
              <w:autoSpaceDE w:val="0"/>
              <w:autoSpaceDN w:val="0"/>
              <w:adjustRightInd w:val="0"/>
              <w:jc w:val="center"/>
              <w:rPr>
                <w:rFonts w:ascii="Arial" w:eastAsia="Times New Roman" w:hAnsi="Arial" w:cs="Arial"/>
                <w:sz w:val="24"/>
              </w:rPr>
            </w:pPr>
            <w:r w:rsidRPr="004D76B2">
              <w:rPr>
                <w:rFonts w:ascii="Arial" w:eastAsia="Times New Roman" w:hAnsi="Arial" w:cs="Arial"/>
                <w:sz w:val="24"/>
              </w:rPr>
              <w:t>N</w:t>
            </w:r>
          </w:p>
        </w:tc>
        <w:tc>
          <w:tcPr>
            <w:tcW w:w="3658" w:type="dxa"/>
          </w:tcPr>
          <w:p w:rsidR="00C627DF" w:rsidRPr="004D76B2" w:rsidRDefault="00C627DF" w:rsidP="009F411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rPr>
            </w:pPr>
            <w:proofErr w:type="spellStart"/>
            <w:r w:rsidRPr="004D76B2">
              <w:rPr>
                <w:rFonts w:ascii="Arial" w:eastAsia="Times New Roman" w:hAnsi="Arial" w:cs="Arial"/>
                <w:sz w:val="24"/>
              </w:rPr>
              <w:t>Exigences</w:t>
            </w:r>
            <w:proofErr w:type="spellEnd"/>
          </w:p>
        </w:tc>
        <w:tc>
          <w:tcPr>
            <w:tcW w:w="4592" w:type="dxa"/>
          </w:tcPr>
          <w:p w:rsidR="00C627DF" w:rsidRPr="004D76B2" w:rsidRDefault="00C627DF" w:rsidP="009F411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rPr>
            </w:pPr>
            <w:proofErr w:type="spellStart"/>
            <w:r>
              <w:rPr>
                <w:rFonts w:ascii="Arial" w:eastAsia="Times New Roman" w:hAnsi="Arial" w:cs="Arial"/>
                <w:sz w:val="24"/>
              </w:rPr>
              <w:t>Progrès</w:t>
            </w:r>
            <w:proofErr w:type="spellEnd"/>
          </w:p>
        </w:tc>
      </w:tr>
      <w:tr w:rsidR="00C627DF" w:rsidRPr="003B03A5" w:rsidTr="009F4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none" w:sz="0" w:space="0" w:color="auto"/>
              <w:left w:val="none" w:sz="0" w:space="0" w:color="auto"/>
              <w:bottom w:val="none" w:sz="0" w:space="0" w:color="auto"/>
            </w:tcBorders>
          </w:tcPr>
          <w:p w:rsidR="00C627DF" w:rsidRPr="00CB5355" w:rsidRDefault="00C627DF" w:rsidP="009F411B">
            <w:pPr>
              <w:autoSpaceDE w:val="0"/>
              <w:autoSpaceDN w:val="0"/>
              <w:adjustRightInd w:val="0"/>
              <w:rPr>
                <w:rFonts w:ascii="Arial" w:eastAsia="Times New Roman" w:hAnsi="Arial" w:cs="Arial"/>
                <w:sz w:val="20"/>
                <w:szCs w:val="20"/>
              </w:rPr>
            </w:pPr>
            <w:r w:rsidRPr="00CB5355">
              <w:rPr>
                <w:rFonts w:ascii="Arial" w:eastAsia="Times New Roman" w:hAnsi="Arial" w:cs="Arial"/>
                <w:sz w:val="20"/>
                <w:szCs w:val="20"/>
              </w:rPr>
              <w:t>1</w:t>
            </w:r>
          </w:p>
        </w:tc>
        <w:tc>
          <w:tcPr>
            <w:tcW w:w="3658" w:type="dxa"/>
            <w:tcBorders>
              <w:top w:val="none" w:sz="0" w:space="0" w:color="auto"/>
              <w:bottom w:val="none" w:sz="0" w:space="0" w:color="auto"/>
            </w:tcBorders>
          </w:tcPr>
          <w:p w:rsidR="00C627DF" w:rsidRPr="001262F5"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93D1"/>
                <w:lang w:val="fr-CA"/>
              </w:rPr>
            </w:pPr>
            <w:r w:rsidRPr="00C627DF">
              <w:rPr>
                <w:rFonts w:ascii="Arial" w:hAnsi="Arial" w:cs="Arial"/>
                <w:color w:val="0093D1"/>
                <w:lang w:val="fr-CA"/>
              </w:rPr>
              <w:t>EXIGENCE IT</w:t>
            </w:r>
            <w:r w:rsidR="001262F5">
              <w:rPr>
                <w:rFonts w:ascii="Arial" w:hAnsi="Arial" w:cs="Arial"/>
                <w:color w:val="0093D1"/>
                <w:lang w:val="fr-CA"/>
              </w:rPr>
              <w:t xml:space="preserve">IE 1 </w:t>
            </w:r>
            <w:r w:rsidRPr="00C627DF">
              <w:rPr>
                <w:rFonts w:ascii="Arial" w:hAnsi="Arial" w:cs="Arial"/>
                <w:b/>
                <w:bCs/>
                <w:color w:val="000000"/>
                <w:lang w:val="fr-CA"/>
              </w:rPr>
              <w:t>Suivi par le Groupe multipartite.</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 L’ITIE exige un suivi efficace par les parties prenantes, assuré notamment par un groupe multipartite fonctionnel qui associe le gouvernement et les entreprises, et requiert la pleine participation indépendante, active et effective de la société civile. Les exigences clés liées au suivi par le groupe multipartite se réfèrent à : (1.1) l’engagement de l’État ; (1.2) l’engagement des entreprises ; (1.3) l’engagement de la société civile ; (1.4) la création et le fonctionnement du groupe multipartite ; (1.5) l’adoption d’un plan de travail comportant des objectifs clairs pour la mise en œuvre de l’ITIE ainsi qu’un calendrier aligné sur les délais fixés par le Conseil d’administration de l’ITIE.</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0000"/>
                <w:lang w:val="fr-CA"/>
              </w:rPr>
            </w:pPr>
          </w:p>
        </w:tc>
        <w:tc>
          <w:tcPr>
            <w:tcW w:w="4592" w:type="dxa"/>
            <w:tcBorders>
              <w:top w:val="none" w:sz="0" w:space="0" w:color="auto"/>
              <w:bottom w:val="none" w:sz="0" w:space="0" w:color="auto"/>
              <w:right w:val="none" w:sz="0" w:space="0" w:color="auto"/>
            </w:tcBorders>
          </w:tcPr>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fr-CA"/>
              </w:rPr>
            </w:pPr>
          </w:p>
          <w:p w:rsidR="00C627DF" w:rsidRPr="00E906F4" w:rsidRDefault="001608E5" w:rsidP="00964112">
            <w:pPr>
              <w:pStyle w:val="Paragraphedeliste"/>
              <w:widowControl w:val="0"/>
              <w:numPr>
                <w:ilvl w:val="1"/>
                <w:numId w:val="12"/>
              </w:numPr>
              <w:autoSpaceDE w:val="0"/>
              <w:autoSpaceDN w:val="0"/>
              <w:adjustRightInd w:val="0"/>
              <w:spacing w:before="0" w:after="6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E906F4">
              <w:rPr>
                <w:rFonts w:ascii="Arial" w:hAnsi="Arial" w:cs="Arial"/>
                <w:b/>
              </w:rPr>
              <w:t>Engagement</w:t>
            </w:r>
            <w:r w:rsidR="00C627DF" w:rsidRPr="00E906F4">
              <w:rPr>
                <w:rFonts w:ascii="Arial" w:hAnsi="Arial" w:cs="Arial"/>
                <w:b/>
              </w:rPr>
              <w:t xml:space="preserve"> de </w:t>
            </w:r>
            <w:proofErr w:type="spellStart"/>
            <w:r w:rsidR="00C627DF" w:rsidRPr="00E906F4">
              <w:rPr>
                <w:rFonts w:ascii="Arial" w:hAnsi="Arial" w:cs="Arial"/>
                <w:b/>
              </w:rPr>
              <w:t>l’Etat</w:t>
            </w:r>
            <w:proofErr w:type="spellEnd"/>
            <w:r w:rsidR="00C627DF" w:rsidRPr="00E906F4">
              <w:rPr>
                <w:rFonts w:ascii="Arial" w:hAnsi="Arial" w:cs="Arial"/>
                <w:b/>
              </w:rPr>
              <w:t xml:space="preserve"> </w:t>
            </w:r>
          </w:p>
          <w:p w:rsidR="00C627DF" w:rsidRPr="00CD13F1"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CD13F1">
              <w:rPr>
                <w:rFonts w:ascii="Arial" w:hAnsi="Arial" w:cs="Arial"/>
                <w:b/>
              </w:rPr>
              <w:t>Satisfaisant</w:t>
            </w:r>
            <w:proofErr w:type="spellEnd"/>
          </w:p>
          <w:p w:rsidR="001262F5" w:rsidRDefault="001262F5"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Le Gouvernent vient de faire une déclaration récente sur sa volonté de poursuivre la mise en œuvre de l’ITIE en diffusant un communiqué accompagné du décret N°1838 /PR/MPE/2019 du 08 Novembre 2019 portant publication des informations sur les contrats du secteur extractif. </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E906F4" w:rsidRDefault="00C627DF" w:rsidP="00964112">
            <w:pPr>
              <w:pStyle w:val="Paragraphedeliste"/>
              <w:widowControl w:val="0"/>
              <w:numPr>
                <w:ilvl w:val="1"/>
                <w:numId w:val="12"/>
              </w:numPr>
              <w:autoSpaceDE w:val="0"/>
              <w:autoSpaceDN w:val="0"/>
              <w:adjustRightInd w:val="0"/>
              <w:spacing w:before="0" w:after="6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E906F4">
              <w:rPr>
                <w:rFonts w:ascii="Arial" w:hAnsi="Arial" w:cs="Arial"/>
                <w:b/>
              </w:rPr>
              <w:t>L’engagement</w:t>
            </w:r>
            <w:proofErr w:type="spellEnd"/>
            <w:r w:rsidRPr="00E906F4">
              <w:rPr>
                <w:rFonts w:ascii="Arial" w:hAnsi="Arial" w:cs="Arial"/>
                <w:b/>
              </w:rPr>
              <w:t xml:space="preserve"> des </w:t>
            </w:r>
            <w:proofErr w:type="spellStart"/>
            <w:r w:rsidRPr="00E906F4">
              <w:rPr>
                <w:rFonts w:ascii="Arial" w:hAnsi="Arial" w:cs="Arial"/>
                <w:b/>
              </w:rPr>
              <w:t>entreprises</w:t>
            </w:r>
            <w:proofErr w:type="spellEnd"/>
          </w:p>
          <w:p w:rsidR="00C627DF" w:rsidRPr="00CD13F1"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CD13F1">
              <w:rPr>
                <w:rFonts w:ascii="Arial" w:hAnsi="Arial" w:cs="Arial"/>
                <w:b/>
              </w:rPr>
              <w:t>Satisfaisant</w:t>
            </w:r>
            <w:proofErr w:type="spellEnd"/>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Il existe un cadre juridique favorable à la participation des entreprises. Il y a une volonté réelle de coopération pour résoudre les obstacles de divulgation. La compagnie Glencore est représentée au sein du HCN ainsi que l’Association des Opérateurs Pétroliers du Tchad.</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 </w:t>
            </w:r>
          </w:p>
          <w:p w:rsidR="00C627DF" w:rsidRPr="006C3CEA" w:rsidRDefault="00C627DF" w:rsidP="00964112">
            <w:pPr>
              <w:pStyle w:val="Paragraphedeliste"/>
              <w:widowControl w:val="0"/>
              <w:numPr>
                <w:ilvl w:val="1"/>
                <w:numId w:val="12"/>
              </w:numPr>
              <w:autoSpaceDE w:val="0"/>
              <w:autoSpaceDN w:val="0"/>
              <w:adjustRightInd w:val="0"/>
              <w:spacing w:before="0" w:after="6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6C3CEA">
              <w:rPr>
                <w:rFonts w:ascii="Arial" w:hAnsi="Arial" w:cs="Arial"/>
                <w:b/>
              </w:rPr>
              <w:t>L’engagement</w:t>
            </w:r>
            <w:proofErr w:type="spellEnd"/>
            <w:r w:rsidRPr="006C3CEA">
              <w:rPr>
                <w:rFonts w:ascii="Arial" w:hAnsi="Arial" w:cs="Arial"/>
                <w:b/>
              </w:rPr>
              <w:t xml:space="preserve"> de la </w:t>
            </w:r>
            <w:proofErr w:type="spellStart"/>
            <w:r w:rsidRPr="006C3CEA">
              <w:rPr>
                <w:rFonts w:ascii="Arial" w:hAnsi="Arial" w:cs="Arial"/>
                <w:b/>
              </w:rPr>
              <w:t>société</w:t>
            </w:r>
            <w:proofErr w:type="spellEnd"/>
            <w:r w:rsidRPr="006C3CEA">
              <w:rPr>
                <w:rFonts w:ascii="Arial" w:hAnsi="Arial" w:cs="Arial"/>
                <w:b/>
              </w:rPr>
              <w:t xml:space="preserve"> </w:t>
            </w:r>
            <w:proofErr w:type="spellStart"/>
            <w:r w:rsidRPr="006C3CEA">
              <w:rPr>
                <w:rFonts w:ascii="Arial" w:hAnsi="Arial" w:cs="Arial"/>
                <w:b/>
              </w:rPr>
              <w:t>civile</w:t>
            </w:r>
            <w:proofErr w:type="spellEnd"/>
            <w:r w:rsidRPr="006C3CEA">
              <w:rPr>
                <w:rFonts w:ascii="Arial" w:hAnsi="Arial" w:cs="Arial"/>
                <w:b/>
              </w:rPr>
              <w:t xml:space="preserve"> </w:t>
            </w:r>
          </w:p>
          <w:p w:rsidR="00C627DF" w:rsidRPr="009642A6"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9642A6">
              <w:rPr>
                <w:rFonts w:ascii="Arial" w:hAnsi="Arial" w:cs="Arial"/>
                <w:b/>
              </w:rPr>
              <w:t>Significatif</w:t>
            </w:r>
            <w:proofErr w:type="spellEnd"/>
            <w:r w:rsidRPr="009642A6">
              <w:rPr>
                <w:rFonts w:ascii="Arial" w:hAnsi="Arial" w:cs="Arial"/>
                <w:b/>
              </w:rPr>
              <w:t xml:space="preserve"> </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La société civile participe pleinement à la mise en œuvre de l’ITIE depuis sa mise en œuvre et le gouvernement procure un environnement propice à la participation de celle - ci, à l’égard des lois, règlements et règles administratives.</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Le gouvernement s’est assuré qu’il n’y a pas d’obstacles à la participation de la société civile par une évaluation des contraintes de </w:t>
            </w:r>
            <w:r w:rsidRPr="00C627DF">
              <w:rPr>
                <w:rFonts w:ascii="Arial" w:hAnsi="Arial" w:cs="Arial"/>
                <w:lang w:val="fr-CA"/>
              </w:rPr>
              <w:lastRenderedPageBreak/>
              <w:t>capacité. le HCN a entrepris des démarches pour la levée des contraintes figurant dans l’ordonnance 023 /PR/2018 du 27 juin 2018</w:t>
            </w:r>
            <w:r w:rsidRPr="00C627DF">
              <w:rPr>
                <w:rFonts w:ascii="Arial" w:hAnsi="Arial" w:cs="Arial"/>
                <w:color w:val="FF0000"/>
                <w:lang w:val="fr-CA"/>
              </w:rPr>
              <w:t xml:space="preserve"> </w:t>
            </w:r>
            <w:r w:rsidRPr="00C627DF">
              <w:rPr>
                <w:rFonts w:ascii="Arial" w:hAnsi="Arial" w:cs="Arial"/>
                <w:lang w:val="fr-CA"/>
              </w:rPr>
              <w:t>portant régimes des Associations en République du Tchad/</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Sauf que dans le cas des activités de la Société Civile au Tchad, cette ordonnance a été prise et entrave les actions des OSC au sens large.   </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p>
          <w:p w:rsidR="00C627DF" w:rsidRPr="00C627DF" w:rsidRDefault="00C627DF" w:rsidP="00964112">
            <w:pPr>
              <w:pStyle w:val="Paragraphedeliste"/>
              <w:widowControl w:val="0"/>
              <w:numPr>
                <w:ilvl w:val="1"/>
                <w:numId w:val="12"/>
              </w:numPr>
              <w:autoSpaceDE w:val="0"/>
              <w:autoSpaceDN w:val="0"/>
              <w:adjustRightInd w:val="0"/>
              <w:spacing w:before="0"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 xml:space="preserve">La création et le fonctionnement du Groupe multipartite </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Satisfaisant</w:t>
            </w:r>
          </w:p>
          <w:p w:rsidR="00C627DF" w:rsidRPr="00C627DF" w:rsidRDefault="00C627DF" w:rsidP="009F411B">
            <w:pPr>
              <w:tabs>
                <w:tab w:val="left" w:pos="123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lang w:val="fr-CA"/>
              </w:rPr>
            </w:pPr>
            <w:r w:rsidRPr="00C627DF">
              <w:rPr>
                <w:rFonts w:ascii="Arial" w:hAnsi="Arial" w:cs="Arial"/>
                <w:lang w:val="fr-CA"/>
              </w:rPr>
              <w:t>Le mode de désignation des membres du HCN est précisé dans le décret de mise en œuvre de l’ITIE- Tchad. Décret</w:t>
            </w:r>
            <w:r w:rsidRPr="00C627DF">
              <w:rPr>
                <w:rFonts w:ascii="Arial" w:hAnsi="Arial" w:cs="Arial"/>
                <w:sz w:val="24"/>
                <w:lang w:val="fr-CA"/>
              </w:rPr>
              <w:t xml:space="preserve"> N° 1637/PR/MPE/2018 portant institution du mécanisme de mise en œuvre et de suivi de l’ITIE au Tchad du 03 Octobre 2018. </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color w:val="FF0000"/>
                <w:lang w:val="fr-CA"/>
              </w:rPr>
              <w:t xml:space="preserve"> </w:t>
            </w:r>
            <w:r w:rsidRPr="00C627DF">
              <w:rPr>
                <w:rFonts w:ascii="Arial" w:hAnsi="Arial" w:cs="Arial"/>
                <w:lang w:val="fr-CA"/>
              </w:rPr>
              <w:t xml:space="preserve">Les décisions sont prises d’une manière consensuelle ou à la majorité combinées avec des comptes rendus. . </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C627DF" w:rsidRDefault="00C627DF" w:rsidP="00964112">
            <w:pPr>
              <w:pStyle w:val="Paragraphedeliste"/>
              <w:widowControl w:val="0"/>
              <w:numPr>
                <w:ilvl w:val="1"/>
                <w:numId w:val="12"/>
              </w:numPr>
              <w:autoSpaceDE w:val="0"/>
              <w:autoSpaceDN w:val="0"/>
              <w:adjustRightInd w:val="0"/>
              <w:spacing w:before="0"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 xml:space="preserve">un Plan de travail adopté comportant des objectifs clairs </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Satisfaisant</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Le plan de travail triennal comporte des objectifs de mise en œuvre liés à la Norme et reflétant les priorités nationales. La conception d’un plan de travail annuel(2021) est en cours d’élaboration et fera l’objet d’une consultation du HCN avant sa diffusion au public. </w:t>
            </w:r>
          </w:p>
        </w:tc>
      </w:tr>
      <w:tr w:rsidR="00C627DF" w:rsidRPr="003B03A5" w:rsidTr="009F411B">
        <w:tc>
          <w:tcPr>
            <w:cnfStyle w:val="001000000000" w:firstRow="0" w:lastRow="0" w:firstColumn="1" w:lastColumn="0" w:oddVBand="0" w:evenVBand="0" w:oddHBand="0" w:evenHBand="0" w:firstRowFirstColumn="0" w:firstRowLastColumn="0" w:lastRowFirstColumn="0" w:lastRowLastColumn="0"/>
            <w:tcW w:w="392" w:type="dxa"/>
          </w:tcPr>
          <w:p w:rsidR="00C627DF" w:rsidRPr="004D76B2" w:rsidRDefault="00C627DF" w:rsidP="009F411B">
            <w:pPr>
              <w:autoSpaceDE w:val="0"/>
              <w:autoSpaceDN w:val="0"/>
              <w:adjustRightInd w:val="0"/>
              <w:rPr>
                <w:rFonts w:ascii="Arial" w:eastAsia="Times New Roman" w:hAnsi="Arial" w:cs="Arial"/>
                <w:sz w:val="24"/>
              </w:rPr>
            </w:pPr>
            <w:r w:rsidRPr="004D76B2">
              <w:rPr>
                <w:rFonts w:ascii="Arial" w:eastAsia="Times New Roman" w:hAnsi="Arial" w:cs="Arial"/>
                <w:sz w:val="24"/>
              </w:rPr>
              <w:lastRenderedPageBreak/>
              <w:t>2</w:t>
            </w:r>
          </w:p>
        </w:tc>
        <w:tc>
          <w:tcPr>
            <w:tcW w:w="3658" w:type="dxa"/>
          </w:tcPr>
          <w:p w:rsidR="00C627DF" w:rsidRPr="00C627DF" w:rsidRDefault="00C627DF" w:rsidP="009F41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93D1"/>
                <w:lang w:val="fr-CA"/>
              </w:rPr>
            </w:pPr>
            <w:r w:rsidRPr="00C627DF">
              <w:rPr>
                <w:rFonts w:ascii="Arial" w:hAnsi="Arial" w:cs="Arial"/>
                <w:color w:val="0093D1"/>
                <w:lang w:val="fr-CA"/>
              </w:rPr>
              <w:t>EXIGENCE ITIE 2</w:t>
            </w:r>
          </w:p>
          <w:p w:rsidR="00C627DF" w:rsidRPr="00C627DF" w:rsidRDefault="00C627DF" w:rsidP="009F41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fr-CA"/>
              </w:rPr>
            </w:pPr>
            <w:r w:rsidRPr="00C627DF">
              <w:rPr>
                <w:rFonts w:ascii="Arial" w:hAnsi="Arial" w:cs="Arial"/>
                <w:b/>
                <w:bCs/>
                <w:color w:val="000000"/>
                <w:lang w:val="fr-CA"/>
              </w:rPr>
              <w:t>Cadre légal et institutionnel, octroi des licences et des contrats.</w:t>
            </w:r>
          </w:p>
          <w:p w:rsidR="00C627DF" w:rsidRPr="00C627DF" w:rsidRDefault="00C627DF" w:rsidP="009F41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0000"/>
                <w:lang w:val="fr-CA"/>
              </w:rPr>
            </w:pPr>
            <w:r w:rsidRPr="00C627DF">
              <w:rPr>
                <w:rFonts w:ascii="Arial" w:hAnsi="Arial" w:cs="Arial"/>
                <w:lang w:val="fr-CA"/>
              </w:rPr>
              <w:t xml:space="preserve">L’ITIE exige que les divulgations contiennent des informations sur la gestion du secteur extractif et permettent aux parties prenantes de comprendre les lois et procédures relatives à l’octroi de </w:t>
            </w:r>
            <w:r w:rsidRPr="00C627DF">
              <w:rPr>
                <w:rFonts w:ascii="Arial" w:hAnsi="Arial" w:cs="Arial"/>
                <w:lang w:val="fr-CA"/>
              </w:rPr>
              <w:lastRenderedPageBreak/>
              <w:t>droits d’exploration et de production, le cadre juridique, réglementaire et contractuel s’appliquant au secteur extractif et les responsabilités institutionnelles de l’État dans la gestion du secteur. Les Exigences ITIE liées à un cadre juridique transparent et à l’octroi des droits dans le secteur extractif font référence aux aspects suivants : (2.1) cadre légal et régime fiscal ; (2.2) octroi des licences ; (2.3) registre des licences ; (2.4) contrats ; (2.5) propriété effective ; et (2.6) participation de l’État dans le secteur extractif.</w:t>
            </w:r>
          </w:p>
        </w:tc>
        <w:tc>
          <w:tcPr>
            <w:tcW w:w="4592" w:type="dxa"/>
          </w:tcPr>
          <w:p w:rsidR="00C627DF" w:rsidRPr="00C627DF" w:rsidRDefault="00C627DF" w:rsidP="009F411B">
            <w:pPr>
              <w:pStyle w:val="Paragraphedelist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fr-CA"/>
              </w:rPr>
            </w:pP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2.1) Cadre légal et régime fiscal</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Satisfaisant</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 xml:space="preserve">Une description du régime fiscale globale a été divulguée. Un aperçu des lois régissant le secteur extractif et des informations sur le rôle des principales agences gouvernementales sont décrites dans les </w:t>
            </w:r>
            <w:r w:rsidRPr="00C627DF">
              <w:rPr>
                <w:rFonts w:ascii="Arial" w:hAnsi="Arial" w:cs="Arial"/>
                <w:lang w:val="fr-CA"/>
              </w:rPr>
              <w:lastRenderedPageBreak/>
              <w:t>derniers rapports.</w:t>
            </w:r>
          </w:p>
          <w:p w:rsidR="00C627DF" w:rsidRPr="001262F5" w:rsidRDefault="001262F5"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Pr>
                <w:rFonts w:ascii="Arial" w:hAnsi="Arial" w:cs="Arial"/>
                <w:lang w:val="fr-CA"/>
              </w:rPr>
              <w:t xml:space="preserve"> </w:t>
            </w:r>
            <w:r w:rsidR="00C627DF" w:rsidRPr="00C627DF">
              <w:rPr>
                <w:rFonts w:ascii="Arial" w:hAnsi="Arial" w:cs="Arial"/>
                <w:b/>
                <w:lang w:val="fr-CA"/>
              </w:rPr>
              <w:t xml:space="preserve">2.2) Octroi des licences (Permis et </w:t>
            </w:r>
            <w:proofErr w:type="gramStart"/>
            <w:r w:rsidR="00C627DF" w:rsidRPr="00C627DF">
              <w:rPr>
                <w:rFonts w:ascii="Arial" w:hAnsi="Arial" w:cs="Arial"/>
                <w:b/>
                <w:lang w:val="fr-CA"/>
              </w:rPr>
              <w:t>Autorisations )</w:t>
            </w:r>
            <w:proofErr w:type="gramEnd"/>
            <w:r w:rsidR="00C627DF" w:rsidRPr="00C627DF">
              <w:rPr>
                <w:rFonts w:ascii="Arial" w:hAnsi="Arial" w:cs="Arial"/>
                <w:b/>
                <w:lang w:val="fr-CA"/>
              </w:rPr>
              <w:t xml:space="preserve">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Significatif</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Les Rapports ITIE 2017 et 2018 présentent la liste des licences dans le secteur extractif octroyées.</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 xml:space="preserve">Voir la plateforme des contrats </w:t>
            </w:r>
            <w:hyperlink r:id="rId17" w:history="1">
              <w:r w:rsidRPr="00C627DF">
                <w:rPr>
                  <w:rStyle w:val="Lienhypertexte"/>
                  <w:lang w:val="fr-CA"/>
                </w:rPr>
                <w:t>http://www.itie-tchad.mbn.tn/login/</w:t>
              </w:r>
            </w:hyperlink>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2.3) Registre des licences</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Significatif</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 xml:space="preserve">La plateforme des </w:t>
            </w:r>
            <w:proofErr w:type="gramStart"/>
            <w:r w:rsidRPr="00C627DF">
              <w:rPr>
                <w:rFonts w:ascii="Arial" w:hAnsi="Arial" w:cs="Arial"/>
                <w:lang w:val="fr-CA"/>
              </w:rPr>
              <w:t>contrats  inclut</w:t>
            </w:r>
            <w:proofErr w:type="gramEnd"/>
            <w:r w:rsidRPr="00C627DF">
              <w:rPr>
                <w:rFonts w:ascii="Arial" w:hAnsi="Arial" w:cs="Arial"/>
                <w:lang w:val="fr-CA"/>
              </w:rPr>
              <w:t xml:space="preserve"> : le nom des détenteurs, la date d’octroi, la durée, le nom des blocs attribués, et la superficie. Toutefois, il manque les dates de demandes d’octroi pour l’ensemble des permis, et les coordonnées des zones concernées pour le secteur minier. Une carte interactive des blocs pétroliers est disponible en ligne mais elle n’est pas à jour. Le HCN et les parties prenantes n’ont pas permis d’obtenir un calendrier de mise en œuvre des réformes sur les cadastres pétrolier et minier.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Un retard est constaté dans la mise en œuvre des calendriers établis par le PND et l’EDIC II sur les mises en place du</w:t>
            </w:r>
            <w:r w:rsidR="001262F5">
              <w:rPr>
                <w:rFonts w:ascii="Arial" w:hAnsi="Arial" w:cs="Arial"/>
                <w:lang w:val="fr-CA"/>
              </w:rPr>
              <w:t xml:space="preserve"> cadastre minier et pétrolier.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2.4) Contrats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satisfaisant</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Le Gouvernement a émis une politique claire en matière de publication de contrat et s’est engagé en Avril 2018 à publier tous les contrats avec toute la documentation.</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Les licences d’octroi de permis sont divulguées dans la plateforme</w:t>
            </w:r>
          </w:p>
          <w:p w:rsidR="00C627DF" w:rsidRPr="00C627DF" w:rsidRDefault="00300966"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fr-CA"/>
              </w:rPr>
            </w:pPr>
            <w:hyperlink r:id="rId18" w:history="1">
              <w:r w:rsidR="00C627DF" w:rsidRPr="00C627DF">
                <w:rPr>
                  <w:rStyle w:val="Lienhypertexte"/>
                  <w:rFonts w:ascii="Arial" w:hAnsi="Arial" w:cs="Arial"/>
                  <w:lang w:val="fr-CA"/>
                </w:rPr>
                <w:t>http://www.itie-tchad.mbn.tn/login/</w:t>
              </w:r>
            </w:hyperlink>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2.5) Propriété effective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significatif</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 xml:space="preserve">La feuille de route a été élaborée et la plupart </w:t>
            </w:r>
            <w:r w:rsidRPr="00C627DF">
              <w:rPr>
                <w:rFonts w:ascii="Arial" w:hAnsi="Arial" w:cs="Arial"/>
                <w:lang w:val="fr-CA"/>
              </w:rPr>
              <w:lastRenderedPageBreak/>
              <w:t>des Sociétés extra</w:t>
            </w:r>
            <w:r w:rsidR="001262F5">
              <w:rPr>
                <w:rFonts w:ascii="Arial" w:hAnsi="Arial" w:cs="Arial"/>
                <w:lang w:val="fr-CA"/>
              </w:rPr>
              <w:t xml:space="preserve">ctives sont cotées en bourses.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2.6) Participation de l’</w:t>
            </w:r>
            <w:r w:rsidR="001262F5" w:rsidRPr="00C627DF">
              <w:rPr>
                <w:rFonts w:ascii="Arial" w:hAnsi="Arial" w:cs="Arial"/>
                <w:b/>
                <w:lang w:val="fr-CA"/>
              </w:rPr>
              <w:t>État</w:t>
            </w:r>
            <w:r w:rsidRPr="00C627DF">
              <w:rPr>
                <w:rFonts w:ascii="Arial" w:hAnsi="Arial" w:cs="Arial"/>
                <w:b/>
                <w:lang w:val="fr-CA"/>
              </w:rPr>
              <w:t xml:space="preserve"> dans le secteur extractif.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Significatif</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roofErr w:type="gramStart"/>
            <w:r w:rsidRPr="00C627DF">
              <w:rPr>
                <w:rFonts w:ascii="Arial" w:hAnsi="Arial" w:cs="Arial"/>
                <w:lang w:val="fr-CA"/>
              </w:rPr>
              <w:t>Le</w:t>
            </w:r>
            <w:proofErr w:type="gramEnd"/>
            <w:r w:rsidR="001262F5">
              <w:rPr>
                <w:rFonts w:ascii="Arial" w:hAnsi="Arial" w:cs="Arial"/>
                <w:lang w:val="fr-CA"/>
              </w:rPr>
              <w:t xml:space="preserve"> derniers</w:t>
            </w:r>
            <w:r w:rsidRPr="00C627DF">
              <w:rPr>
                <w:rFonts w:ascii="Arial" w:hAnsi="Arial" w:cs="Arial"/>
                <w:lang w:val="fr-CA"/>
              </w:rPr>
              <w:t xml:space="preserve"> rapport</w:t>
            </w:r>
            <w:r w:rsidR="001262F5">
              <w:rPr>
                <w:rFonts w:ascii="Arial" w:hAnsi="Arial" w:cs="Arial"/>
                <w:lang w:val="fr-CA"/>
              </w:rPr>
              <w:t>s ITIE</w:t>
            </w:r>
            <w:r w:rsidRPr="00C627DF">
              <w:rPr>
                <w:rFonts w:ascii="Arial" w:hAnsi="Arial" w:cs="Arial"/>
                <w:lang w:val="fr-CA"/>
              </w:rPr>
              <w:t xml:space="preserve"> comportent le niveau de participation de l’État dans les sociétés. Cependant, cette information est divulguée par la SHT sur son site web. : sht-tchad.com/</w:t>
            </w:r>
            <w:proofErr w:type="spellStart"/>
            <w:r w:rsidRPr="00C627DF">
              <w:rPr>
                <w:rFonts w:ascii="Arial" w:hAnsi="Arial" w:cs="Arial"/>
                <w:lang w:val="fr-CA"/>
              </w:rPr>
              <w:t>fr</w:t>
            </w:r>
            <w:proofErr w:type="spellEnd"/>
            <w:r w:rsidRPr="00C627DF">
              <w:rPr>
                <w:rFonts w:ascii="Arial" w:hAnsi="Arial" w:cs="Arial"/>
                <w:lang w:val="fr-CA"/>
              </w:rPr>
              <w:t xml:space="preserve"> </w:t>
            </w:r>
          </w:p>
          <w:p w:rsidR="001262F5" w:rsidRPr="001262F5"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Il manque de détails sur les relations entre l’</w:t>
            </w:r>
            <w:r w:rsidR="001262F5" w:rsidRPr="00C627DF">
              <w:rPr>
                <w:rFonts w:ascii="Arial" w:hAnsi="Arial" w:cs="Arial"/>
                <w:lang w:val="fr-CA"/>
              </w:rPr>
              <w:t>État</w:t>
            </w:r>
            <w:r w:rsidRPr="00C627DF">
              <w:rPr>
                <w:rFonts w:ascii="Arial" w:hAnsi="Arial" w:cs="Arial"/>
                <w:lang w:val="fr-CA"/>
              </w:rPr>
              <w:t xml:space="preserve"> et les entreprises d’</w:t>
            </w:r>
            <w:r w:rsidR="001262F5" w:rsidRPr="00C627DF">
              <w:rPr>
                <w:rFonts w:ascii="Arial" w:hAnsi="Arial" w:cs="Arial"/>
                <w:lang w:val="fr-CA"/>
              </w:rPr>
              <w:t>État</w:t>
            </w:r>
            <w:r w:rsidRPr="00C627DF">
              <w:rPr>
                <w:rFonts w:ascii="Arial" w:hAnsi="Arial" w:cs="Arial"/>
                <w:lang w:val="fr-CA"/>
              </w:rPr>
              <w:t xml:space="preserve"> de manière générale. Néanmoins, les rapports ITIE contiennent des liens menant vers les Déclarations Statistiques et Fiscales (DSF) 2015 de la SHT, SRN et SONACIM publiées sur le du Ministère des finances </w:t>
            </w:r>
            <w:hyperlink r:id="rId19" w:history="1">
              <w:r w:rsidR="001262F5" w:rsidRPr="005D0CAC">
                <w:rPr>
                  <w:rStyle w:val="Lienhypertexte"/>
                  <w:rFonts w:ascii="Arial" w:hAnsi="Arial"/>
                  <w:lang w:val="fr-CA"/>
                </w:rPr>
                <w:t>https://finances.gouv.td/</w:t>
              </w:r>
            </w:hyperlink>
          </w:p>
        </w:tc>
      </w:tr>
      <w:tr w:rsidR="00C627DF" w:rsidRPr="003B03A5" w:rsidTr="009F4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none" w:sz="0" w:space="0" w:color="auto"/>
              <w:left w:val="none" w:sz="0" w:space="0" w:color="auto"/>
              <w:bottom w:val="none" w:sz="0" w:space="0" w:color="auto"/>
            </w:tcBorders>
          </w:tcPr>
          <w:p w:rsidR="00C627DF" w:rsidRPr="004D76B2" w:rsidRDefault="00C627DF" w:rsidP="009F411B">
            <w:pPr>
              <w:autoSpaceDE w:val="0"/>
              <w:autoSpaceDN w:val="0"/>
              <w:adjustRightInd w:val="0"/>
              <w:rPr>
                <w:rFonts w:ascii="Arial" w:eastAsia="Times New Roman" w:hAnsi="Arial" w:cs="Arial"/>
                <w:sz w:val="24"/>
              </w:rPr>
            </w:pPr>
            <w:r w:rsidRPr="004D76B2">
              <w:rPr>
                <w:rFonts w:ascii="Arial" w:eastAsia="Times New Roman" w:hAnsi="Arial" w:cs="Arial"/>
                <w:sz w:val="24"/>
              </w:rPr>
              <w:lastRenderedPageBreak/>
              <w:t>3</w:t>
            </w:r>
          </w:p>
        </w:tc>
        <w:tc>
          <w:tcPr>
            <w:tcW w:w="3658" w:type="dxa"/>
            <w:tcBorders>
              <w:top w:val="none" w:sz="0" w:space="0" w:color="auto"/>
              <w:bottom w:val="none" w:sz="0" w:space="0" w:color="auto"/>
            </w:tcBorders>
          </w:tcPr>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93D1"/>
                <w:lang w:val="fr-CA"/>
              </w:rPr>
            </w:pPr>
            <w:r w:rsidRPr="00C627DF">
              <w:rPr>
                <w:rFonts w:ascii="Arial" w:hAnsi="Arial" w:cs="Arial"/>
                <w:color w:val="0093D1"/>
                <w:lang w:val="fr-CA"/>
              </w:rPr>
              <w:t>EXIGENCE ITIE 3</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lang w:val="fr-CA"/>
              </w:rPr>
            </w:pPr>
            <w:r w:rsidRPr="00C627DF">
              <w:rPr>
                <w:rFonts w:ascii="Arial" w:hAnsi="Arial" w:cs="Arial"/>
                <w:b/>
                <w:bCs/>
                <w:color w:val="000000"/>
                <w:lang w:val="fr-CA"/>
              </w:rPr>
              <w:t>Exploration et production.</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fr-CA"/>
              </w:rPr>
            </w:pPr>
            <w:r w:rsidRPr="00C627DF">
              <w:rPr>
                <w:rFonts w:ascii="Arial" w:hAnsi="Arial" w:cs="Arial"/>
                <w:lang w:val="fr-CA"/>
              </w:rPr>
              <w:t>L’ITIE exige la divulgation d’informations liées à l’exploration et à la production, permettant aux parties prenantes de comprendre le potentiel du secteur. Les Exigences ITIE liées à la transparence dans les activités d’exploration et de production font référence aux aspects suivants : (3.1) information sur les activités de prospection/exploration ; (3.2) données de production ; (3.3) données d’exportation.</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tc>
        <w:tc>
          <w:tcPr>
            <w:tcW w:w="4592" w:type="dxa"/>
            <w:tcBorders>
              <w:top w:val="none" w:sz="0" w:space="0" w:color="auto"/>
              <w:bottom w:val="none" w:sz="0" w:space="0" w:color="auto"/>
              <w:right w:val="none" w:sz="0" w:space="0" w:color="auto"/>
            </w:tcBorders>
          </w:tcPr>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b/>
                <w:lang w:val="fr-CA"/>
              </w:rPr>
              <w:t>3.1) Information sur les activités de prospection</w:t>
            </w:r>
            <w:r w:rsidRPr="00C627DF">
              <w:rPr>
                <w:rFonts w:ascii="Arial" w:hAnsi="Arial" w:cs="Arial"/>
                <w:lang w:val="fr-CA"/>
              </w:rPr>
              <w:t> </w:t>
            </w:r>
            <w:r w:rsidRPr="00C627DF">
              <w:rPr>
                <w:rFonts w:ascii="Arial" w:hAnsi="Arial" w:cs="Arial"/>
                <w:b/>
                <w:lang w:val="fr-CA"/>
              </w:rPr>
              <w:t>et exploration</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 xml:space="preserve">Significatif </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C627DF" w:rsidRDefault="001262F5"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Pr>
                <w:rFonts w:ascii="Arial" w:hAnsi="Arial" w:cs="Arial"/>
                <w:lang w:val="fr-CA"/>
              </w:rPr>
              <w:t>Les derniers rapports ITIE</w:t>
            </w:r>
            <w:r w:rsidR="00C627DF" w:rsidRPr="00C627DF">
              <w:rPr>
                <w:rFonts w:ascii="Arial" w:hAnsi="Arial" w:cs="Arial"/>
                <w:lang w:val="fr-CA"/>
              </w:rPr>
              <w:t xml:space="preserve"> donnent une bonne présentation des acteurs majeurs des industries extractives au Tchad ainsi que les principales activités d’exploitation et les nouvelles activités de recherche et d’exploitation. Cependant, aucune indication de données sur les réserves probables et prouvées n’est indiquée.</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 xml:space="preserve">3.2) Données de production </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Satisfaisant</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Les rapports ITIE contiennent une divulgation de la production désagrégée par compagnie et par zone.</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3.3) Données d’exportation</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Satisfaisant</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fr-CA"/>
              </w:rPr>
            </w:pPr>
            <w:r w:rsidRPr="00C627DF">
              <w:rPr>
                <w:rFonts w:ascii="Arial" w:hAnsi="Arial" w:cs="Arial"/>
                <w:lang w:val="fr-CA"/>
              </w:rPr>
              <w:t xml:space="preserve">Les rapports ITIE contiennent des informations sur l’exportation de pétrole brute par pays de destination. Ils contiennent les données d’exportations par cargaison de la SHT commercialisées par Glencore.  </w:t>
            </w:r>
          </w:p>
        </w:tc>
      </w:tr>
      <w:tr w:rsidR="00C627DF" w:rsidRPr="003B03A5" w:rsidTr="009F411B">
        <w:tc>
          <w:tcPr>
            <w:cnfStyle w:val="001000000000" w:firstRow="0" w:lastRow="0" w:firstColumn="1" w:lastColumn="0" w:oddVBand="0" w:evenVBand="0" w:oddHBand="0" w:evenHBand="0" w:firstRowFirstColumn="0" w:firstRowLastColumn="0" w:lastRowFirstColumn="0" w:lastRowLastColumn="0"/>
            <w:tcW w:w="392" w:type="dxa"/>
          </w:tcPr>
          <w:p w:rsidR="00C627DF" w:rsidRPr="004D76B2" w:rsidRDefault="00C627DF" w:rsidP="009F411B">
            <w:pPr>
              <w:autoSpaceDE w:val="0"/>
              <w:autoSpaceDN w:val="0"/>
              <w:adjustRightInd w:val="0"/>
              <w:rPr>
                <w:rFonts w:ascii="Arial" w:hAnsi="Arial" w:cs="Arial"/>
                <w:sz w:val="24"/>
              </w:rPr>
            </w:pPr>
            <w:r w:rsidRPr="004D76B2">
              <w:rPr>
                <w:rFonts w:ascii="Arial" w:hAnsi="Arial" w:cs="Arial"/>
                <w:sz w:val="24"/>
              </w:rPr>
              <w:t>4</w:t>
            </w:r>
          </w:p>
        </w:tc>
        <w:tc>
          <w:tcPr>
            <w:tcW w:w="3658" w:type="dxa"/>
          </w:tcPr>
          <w:p w:rsidR="00C627DF" w:rsidRPr="00C627DF" w:rsidRDefault="00C627DF" w:rsidP="009F41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93D1"/>
                <w:lang w:val="fr-CA"/>
              </w:rPr>
            </w:pPr>
            <w:r w:rsidRPr="00C627DF">
              <w:rPr>
                <w:rFonts w:ascii="Arial" w:hAnsi="Arial" w:cs="Arial"/>
                <w:color w:val="0093D1"/>
                <w:lang w:val="fr-CA"/>
              </w:rPr>
              <w:t xml:space="preserve">EXIGENCE ITIE </w:t>
            </w:r>
            <w:r w:rsidRPr="00C627DF">
              <w:rPr>
                <w:rFonts w:ascii="Arial" w:hAnsi="Arial" w:cs="Arial"/>
                <w:b/>
                <w:bCs/>
                <w:color w:val="0093D1"/>
                <w:lang w:val="fr-CA"/>
              </w:rPr>
              <w:t>4</w:t>
            </w:r>
          </w:p>
          <w:p w:rsidR="00C627DF" w:rsidRPr="00C627DF" w:rsidRDefault="00C627DF" w:rsidP="009F41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fr-CA"/>
              </w:rPr>
            </w:pPr>
            <w:r w:rsidRPr="00C627DF">
              <w:rPr>
                <w:rFonts w:ascii="Arial" w:hAnsi="Arial" w:cs="Arial"/>
                <w:b/>
                <w:bCs/>
                <w:color w:val="000000"/>
                <w:lang w:val="fr-CA"/>
              </w:rPr>
              <w:t>Collecte des revenus.</w:t>
            </w:r>
          </w:p>
          <w:p w:rsidR="00C627DF" w:rsidRPr="00C627DF" w:rsidRDefault="00C627DF" w:rsidP="009F41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0000"/>
                <w:lang w:val="fr-CA"/>
              </w:rPr>
            </w:pPr>
            <w:r w:rsidRPr="00C627DF">
              <w:rPr>
                <w:rFonts w:ascii="Arial" w:hAnsi="Arial" w:cs="Arial"/>
                <w:lang w:val="fr-CA"/>
              </w:rPr>
              <w:lastRenderedPageBreak/>
              <w:t>Une bonne compréhension des paiements effectués par les entreprises et des recettes perçues par l’État peut permettre d’éclairer le débat public concernant la gouvernance dans les industries extractives. L’ITIE exige une divulgation exhaustive des paiements des entreprises et des revenus de l’État provenant des industries extractives. Les Exigences ITIE liées à la collecte des revenus se réfèrent aux aspects suivants : (4.1) divulgation complète des taxes et revenus ; (4.2) vente des parts de production de l’État ou autres revenus perçus en nature ; (4.3) fournitures d’infrastructures et accords de troc ; (4.4) revenus provenant du transport ; (4.5) opérations liées aux entreprises d’État ; (4.6) paiements infranationaux ; (4.7) niveau de désagrégation ; (4.8) ponctualité des données ; (4.9) qualité des divulgations et assurance de la qualité.</w:t>
            </w:r>
          </w:p>
        </w:tc>
        <w:tc>
          <w:tcPr>
            <w:tcW w:w="4592" w:type="dxa"/>
          </w:tcPr>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b/>
                <w:lang w:val="fr-CA"/>
              </w:rPr>
              <w:lastRenderedPageBreak/>
              <w:t>4.1) La divulgation complète des taxes et revenus</w:t>
            </w:r>
            <w:r w:rsidRPr="00C627DF">
              <w:rPr>
                <w:rFonts w:ascii="Arial" w:hAnsi="Arial" w:cs="Arial"/>
                <w:lang w:val="fr-CA"/>
              </w:rPr>
              <w:t xml:space="preserve">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Significatif</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lastRenderedPageBreak/>
              <w:t xml:space="preserve">Le HCN a défini une matérialité avec des seuils de déclaration. Les flux de revenus considérés significatifs sont dans les derniers rapports ITIE. Le Groupe multipartite a identifié les entreprises ayant effectuées des paiements significatifs et les entités de l’État ayant des recettes matérielles.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 xml:space="preserve">L’AI a donné son avis sur l’exhaustivité et la fiabilité des données. L’AI ne peut conclure d’une assurance raisonnable de la fiabilité des données du fait du manque de certification.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N° 48 /PCMT/PMT/MPE/HCN/CSTP/2021</w:t>
            </w:r>
            <w:r w:rsidRPr="00C627DF">
              <w:rPr>
                <w:rFonts w:ascii="Arial" w:hAnsi="Arial" w:cs="Arial"/>
                <w:color w:val="FF0000"/>
                <w:lang w:val="fr-CA"/>
              </w:rPr>
              <w:t xml:space="preserve"> </w:t>
            </w:r>
            <w:r w:rsidRPr="00C627DF">
              <w:rPr>
                <w:rFonts w:ascii="Arial" w:hAnsi="Arial" w:cs="Arial"/>
                <w:lang w:val="fr-CA"/>
              </w:rPr>
              <w:t xml:space="preserve">portant mise en place d’un Comité Ad hoc Chargé de Suivi de la mise en œuvre </w:t>
            </w:r>
            <w:r w:rsidR="001262F5">
              <w:rPr>
                <w:rFonts w:ascii="Arial" w:hAnsi="Arial" w:cs="Arial"/>
                <w:lang w:val="fr-CA"/>
              </w:rPr>
              <w:t xml:space="preserve">des engagements pris par le HCN </w:t>
            </w:r>
            <w:r w:rsidRPr="00C627DF">
              <w:rPr>
                <w:rFonts w:ascii="Arial" w:hAnsi="Arial" w:cs="Arial"/>
                <w:lang w:val="fr-CA"/>
              </w:rPr>
              <w:t xml:space="preserve">afin de résoudre les problèmes d’exhaustivité et de la fiabilité.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4.2) Vente des parts de production de l’</w:t>
            </w:r>
            <w:proofErr w:type="spellStart"/>
            <w:r w:rsidRPr="00C627DF">
              <w:rPr>
                <w:rFonts w:ascii="Arial" w:hAnsi="Arial" w:cs="Arial"/>
                <w:b/>
                <w:lang w:val="fr-CA"/>
              </w:rPr>
              <w:t>Etat</w:t>
            </w:r>
            <w:proofErr w:type="spellEnd"/>
            <w:r w:rsidRPr="00C627DF">
              <w:rPr>
                <w:rFonts w:ascii="Arial" w:hAnsi="Arial" w:cs="Arial"/>
                <w:b/>
                <w:lang w:val="fr-CA"/>
              </w:rPr>
              <w:t xml:space="preserve"> ou autres revenus perçus en nature</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 satisfaisant</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Les rapports ITIE divulguent entièrement les revenus de ventes de part de production et redevance de la production de pétrole collectée. Les rapports contiennent des divulgations sur le prix, le marché et le volume de vente, les volumes vendus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4.3) Fournitures d’infrastructures et accords de troc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Significatif</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 xml:space="preserve">La majorité des informations contractuelles sont divulgués par les rapports ITIE. Toutefois, il manque les informations concernant l’accord de troc entre la CNPCI et la SRN. Les flux concernant cet accord de troc n’ont pas été divulgués.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4.4) </w:t>
            </w:r>
            <w:r w:rsidRPr="00C627DF">
              <w:rPr>
                <w:rFonts w:ascii="Arial" w:hAnsi="Arial" w:cs="Arial"/>
                <w:b/>
                <w:color w:val="000000" w:themeColor="text1"/>
                <w:lang w:val="fr-CA"/>
              </w:rPr>
              <w:t xml:space="preserve">Les revenus provenant du transport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Satisfaisant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b/>
                <w:lang w:val="fr-CA"/>
              </w:rPr>
              <w:t>4.5) Les opérations liées aux entreprises d’</w:t>
            </w:r>
            <w:r w:rsidR="001262F5" w:rsidRPr="00C627DF">
              <w:rPr>
                <w:rFonts w:ascii="Arial" w:hAnsi="Arial" w:cs="Arial"/>
                <w:b/>
                <w:lang w:val="fr-CA"/>
              </w:rPr>
              <w:t>État</w:t>
            </w:r>
            <w:r w:rsidRPr="00C627DF">
              <w:rPr>
                <w:rFonts w:ascii="Arial" w:hAnsi="Arial" w:cs="Arial"/>
                <w:lang w:val="fr-CA"/>
              </w:rPr>
              <w:t xml:space="preserve">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Satisfaisant</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lastRenderedPageBreak/>
              <w:t xml:space="preserve">Le rapport ITIE 2017 décrit le rôle de toutes les entreprises de l’État. Les paiements et les revenus significatifs des entreprises publiques, principalement de la SHT qui est le plus significatif sont divulgués dans les rapports ITIE 2017 et 2018.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4.6) Paiements infranationaux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fr-CA"/>
              </w:rPr>
            </w:pPr>
            <w:r w:rsidRPr="00C627DF">
              <w:rPr>
                <w:rFonts w:ascii="Arial" w:hAnsi="Arial" w:cs="Arial"/>
                <w:color w:val="000000" w:themeColor="text1"/>
                <w:lang w:val="fr-CA"/>
              </w:rPr>
              <w:t xml:space="preserve">Non applicable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L’auto évaluation considère que l’exigence 4.6 n’est pas applicable au Tchad. Aussi le Décret N° 817/PR/PM/MFB/2015 du 1</w:t>
            </w:r>
            <w:r w:rsidRPr="00C627DF">
              <w:rPr>
                <w:rFonts w:ascii="Arial" w:hAnsi="Arial" w:cs="Arial"/>
                <w:vertAlign w:val="superscript"/>
                <w:lang w:val="fr-CA"/>
              </w:rPr>
              <w:t>er</w:t>
            </w:r>
            <w:r w:rsidRPr="00C627DF">
              <w:rPr>
                <w:rFonts w:ascii="Arial" w:hAnsi="Arial" w:cs="Arial"/>
                <w:lang w:val="fr-CA"/>
              </w:rPr>
              <w:t xml:space="preserve"> avril 2015 Portant règlement général sur la comptabilité publique.</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4.7) Niveau de désagrégation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Satisfaisant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 xml:space="preserve">Le Rapport fournit des chiffres ventilés par flux de revenus et par entreprise.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4.8) Ponctualité des données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Significatif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Le rapport ITIE 2018 a été publié au 31 décembre 2020 et celui de 2019 en Février 2022 au lieu du 31 décembre 2021. Le rapport ITIE 2020 est en cours.</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4.9) qualité des divulgations et assurance de la qualité</w:t>
            </w:r>
            <w:r w:rsidRPr="00C627DF">
              <w:rPr>
                <w:rFonts w:ascii="Arial" w:hAnsi="Arial" w:cs="Arial"/>
                <w:lang w:val="fr-CA"/>
              </w:rPr>
              <w:t>.</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Significatif </w:t>
            </w:r>
          </w:p>
          <w:p w:rsidR="00C627DF" w:rsidRPr="00C627DF" w:rsidRDefault="00C627DF" w:rsidP="009F411B">
            <w:pPr>
              <w:widowControl w:val="0"/>
              <w:autoSpaceDE w:val="0"/>
              <w:autoSpaceDN w:val="0"/>
              <w:adjustRightInd w:val="0"/>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val="fr-CA"/>
              </w:rPr>
            </w:pPr>
            <w:r w:rsidRPr="00C627DF">
              <w:rPr>
                <w:rFonts w:ascii="Arial" w:hAnsi="Arial" w:cs="Arial"/>
                <w:lang w:val="fr-CA"/>
              </w:rPr>
              <w:t>Le HCN a convenu du canevas, des procédures d’audit, et des garanties de fiabilité de données. L’AI n’a pas pu donner une assurance raisonnable de la fiabilité des revenus du secteur extractif reportés dans le rapport ITIE 2018. Cependant la fiabilité des données est en cours d’amélioration dans les prochains rapports. Un comité est mis en place afin de réfléchir sur un mécanisme de plaidoirie pour résoudre le problème.</w:t>
            </w:r>
          </w:p>
        </w:tc>
      </w:tr>
      <w:tr w:rsidR="00C627DF" w:rsidRPr="003B03A5" w:rsidTr="009F4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none" w:sz="0" w:space="0" w:color="auto"/>
              <w:left w:val="none" w:sz="0" w:space="0" w:color="auto"/>
              <w:bottom w:val="none" w:sz="0" w:space="0" w:color="auto"/>
            </w:tcBorders>
          </w:tcPr>
          <w:p w:rsidR="00C627DF" w:rsidRPr="004D76B2" w:rsidRDefault="00C627DF" w:rsidP="009F411B">
            <w:pPr>
              <w:autoSpaceDE w:val="0"/>
              <w:autoSpaceDN w:val="0"/>
              <w:adjustRightInd w:val="0"/>
              <w:rPr>
                <w:rFonts w:ascii="Arial" w:hAnsi="Arial" w:cs="Arial"/>
                <w:sz w:val="24"/>
              </w:rPr>
            </w:pPr>
            <w:r w:rsidRPr="004D76B2">
              <w:rPr>
                <w:rFonts w:ascii="Arial" w:hAnsi="Arial" w:cs="Arial"/>
                <w:sz w:val="24"/>
              </w:rPr>
              <w:lastRenderedPageBreak/>
              <w:t>5</w:t>
            </w:r>
          </w:p>
        </w:tc>
        <w:tc>
          <w:tcPr>
            <w:tcW w:w="3658" w:type="dxa"/>
            <w:tcBorders>
              <w:top w:val="none" w:sz="0" w:space="0" w:color="auto"/>
              <w:bottom w:val="none" w:sz="0" w:space="0" w:color="auto"/>
            </w:tcBorders>
          </w:tcPr>
          <w:p w:rsidR="00C627DF" w:rsidRPr="00C627DF" w:rsidRDefault="00C627DF" w:rsidP="009F41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color w:val="0093D1"/>
                <w:lang w:val="fr-CA"/>
              </w:rPr>
            </w:pPr>
            <w:r w:rsidRPr="00C627DF">
              <w:rPr>
                <w:rFonts w:ascii="Arial" w:hAnsi="Arial" w:cs="Arial"/>
                <w:color w:val="0093D1"/>
                <w:lang w:val="fr-CA"/>
              </w:rPr>
              <w:t xml:space="preserve">EXIGENCE ITIE </w:t>
            </w:r>
            <w:r w:rsidRPr="00C627DF">
              <w:rPr>
                <w:rFonts w:ascii="Arial" w:hAnsi="Arial" w:cs="Arial"/>
                <w:b/>
                <w:bCs/>
                <w:color w:val="0093D1"/>
                <w:lang w:val="fr-CA"/>
              </w:rPr>
              <w:t>5</w:t>
            </w:r>
          </w:p>
          <w:p w:rsidR="00C627DF" w:rsidRPr="00C627DF" w:rsidRDefault="00C627DF" w:rsidP="009F41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b/>
                <w:bCs/>
                <w:color w:val="000000"/>
                <w:lang w:val="fr-CA"/>
              </w:rPr>
              <w:t>Attribution des revenus.</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lastRenderedPageBreak/>
              <w:t>L’ITIE exige la divulgation d’informations liées à l’affectation des revenus, permettant aux parties prenantes de comprendre comment les revenus figurent au budget national et, le cas échéant, aux budgets des entités infranationales, ainsi que de retrouver les dépenses sociales par entreprise. Les Exigences de l’ITIE portant sur l’affectation des revenus se réfèrent en particulier aux aspects suivants : (5.1) répartition des revenus ; (5.2) transferts au niveau infranational ; (5.3) gestion des recettes et des dépenses.</w:t>
            </w:r>
          </w:p>
        </w:tc>
        <w:tc>
          <w:tcPr>
            <w:tcW w:w="4592" w:type="dxa"/>
            <w:tcBorders>
              <w:top w:val="none" w:sz="0" w:space="0" w:color="auto"/>
              <w:bottom w:val="none" w:sz="0" w:space="0" w:color="auto"/>
              <w:right w:val="none" w:sz="0" w:space="0" w:color="auto"/>
            </w:tcBorders>
          </w:tcPr>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lastRenderedPageBreak/>
              <w:t>5.1) Répartition des revenus</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Satisfaisant</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Le rapport ITIE informe des revenus des </w:t>
            </w:r>
            <w:r w:rsidRPr="00C627DF">
              <w:rPr>
                <w:rFonts w:ascii="Arial" w:hAnsi="Arial" w:cs="Arial"/>
                <w:lang w:val="fr-CA"/>
              </w:rPr>
              <w:lastRenderedPageBreak/>
              <w:t>industries extractives, en espèces et/ ou en nature, qui sont repris dans le budget de l’État.</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5.2) Transferts au niveau infranational</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Significatif</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Les transferts infranationaux ont été divulgués dans le rapport ITIE 2017 à travers la publication des appels de fonds par le Trésor. Toutefois, il manque des informations sur la matérialité de ces transferts, ainsi que le calcul des revenus théoriques par unité gouvernementale locale sur la base de la formule de partage </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 xml:space="preserve">5.3) Gestion des revenus et des dépenses </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Significatif</w:t>
            </w:r>
          </w:p>
          <w:p w:rsidR="00C627DF" w:rsidRPr="00C627DF" w:rsidRDefault="00C627DF" w:rsidP="009F411B">
            <w:pPr>
              <w:widowControl w:val="0"/>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b/>
                <w:lang w:val="fr-CA"/>
              </w:rPr>
              <w:t>L</w:t>
            </w:r>
            <w:r w:rsidRPr="00C627DF">
              <w:rPr>
                <w:rFonts w:ascii="Arial" w:hAnsi="Arial" w:cs="Arial"/>
                <w:lang w:val="fr-CA"/>
              </w:rPr>
              <w:t>e rapport ITIE donne l’explication de la loi n°002/PR/2014 et la divulgation du montant global alloués aux investissements prioritaires. Aucune mention n’a été faite sur le budget citoyen. Il y a un projet de décret en cours pour régler cette situation.</w:t>
            </w:r>
          </w:p>
        </w:tc>
      </w:tr>
      <w:tr w:rsidR="00C627DF" w:rsidRPr="004D76B2" w:rsidTr="009F411B">
        <w:tc>
          <w:tcPr>
            <w:cnfStyle w:val="001000000000" w:firstRow="0" w:lastRow="0" w:firstColumn="1" w:lastColumn="0" w:oddVBand="0" w:evenVBand="0" w:oddHBand="0" w:evenHBand="0" w:firstRowFirstColumn="0" w:firstRowLastColumn="0" w:lastRowFirstColumn="0" w:lastRowLastColumn="0"/>
            <w:tcW w:w="392" w:type="dxa"/>
          </w:tcPr>
          <w:p w:rsidR="00C627DF" w:rsidRPr="004D76B2" w:rsidRDefault="00C627DF" w:rsidP="009F411B">
            <w:pPr>
              <w:autoSpaceDE w:val="0"/>
              <w:autoSpaceDN w:val="0"/>
              <w:adjustRightInd w:val="0"/>
              <w:rPr>
                <w:rFonts w:ascii="Arial" w:hAnsi="Arial" w:cs="Arial"/>
                <w:sz w:val="24"/>
              </w:rPr>
            </w:pPr>
            <w:r w:rsidRPr="004D76B2">
              <w:rPr>
                <w:rFonts w:ascii="Arial" w:hAnsi="Arial" w:cs="Arial"/>
                <w:sz w:val="24"/>
              </w:rPr>
              <w:lastRenderedPageBreak/>
              <w:t>6</w:t>
            </w:r>
          </w:p>
        </w:tc>
        <w:tc>
          <w:tcPr>
            <w:tcW w:w="3658" w:type="dxa"/>
          </w:tcPr>
          <w:p w:rsidR="00C627DF" w:rsidRPr="00C627DF" w:rsidRDefault="00C627DF" w:rsidP="009F41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93D1"/>
                <w:lang w:val="fr-CA"/>
              </w:rPr>
            </w:pPr>
            <w:r w:rsidRPr="00C627DF">
              <w:rPr>
                <w:rFonts w:ascii="Arial" w:hAnsi="Arial" w:cs="Arial"/>
                <w:color w:val="0093D1"/>
                <w:lang w:val="fr-CA"/>
              </w:rPr>
              <w:t>EXIGENCE ITIE 6</w:t>
            </w:r>
          </w:p>
          <w:p w:rsidR="00C627DF" w:rsidRPr="00C627DF" w:rsidRDefault="00C627DF" w:rsidP="009F41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fr-CA"/>
              </w:rPr>
            </w:pPr>
            <w:r w:rsidRPr="00C627DF">
              <w:rPr>
                <w:rFonts w:ascii="Arial" w:hAnsi="Arial" w:cs="Arial"/>
                <w:b/>
                <w:bCs/>
                <w:color w:val="000000"/>
                <w:lang w:val="fr-CA"/>
              </w:rPr>
              <w:t>Dépenses sociales et économiques.</w:t>
            </w:r>
          </w:p>
          <w:p w:rsidR="00C627DF" w:rsidRPr="00C627DF" w:rsidRDefault="00C627DF" w:rsidP="009F41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L’ITIE encourage la divulgation d’informations liées à la gestion des revenus et aux dépenses, permettant d’aider les parties prenantes à évaluer dans quelle mesure le secteur extractif permet d’obtenir les résultats et impacts sociaux, économiques et environnementaux souhaités. Les Exigences de l’ITIE portant sur les dépenses économiques et sociales se réfèrent aux aspects suivants : (6.1) dépenses sociales et environnementales par entreprise ; (6.2) dépenses quasi budgétaires des entreprises d’État ; (6.3) aperçu de la contribution du secteur extractif à l’économie ; et (6.4) impact environnemental des activités extractives.</w:t>
            </w:r>
          </w:p>
          <w:p w:rsidR="00C627DF" w:rsidRPr="00C627DF" w:rsidRDefault="00C627DF" w:rsidP="009F41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
        </w:tc>
        <w:tc>
          <w:tcPr>
            <w:tcW w:w="4592" w:type="dxa"/>
          </w:tcPr>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b/>
                <w:lang w:val="fr-CA"/>
              </w:rPr>
              <w:t>6.1) Dépenses sociales et environnementales par entreprise ;</w:t>
            </w:r>
            <w:r w:rsidRPr="00C627DF">
              <w:rPr>
                <w:rFonts w:ascii="Arial" w:hAnsi="Arial" w:cs="Arial"/>
                <w:lang w:val="fr-CA"/>
              </w:rPr>
              <w:t xml:space="preserve"> </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Significatif</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Le HCN n’a pas défini la matérialité concernant les dépenses sociales obligatoires qui n’ont pas été divulgués pour une grande partie des compagnies opérantes dans les industries extractives au Tchad.</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 xml:space="preserve">La plupart des contrats ne contiennent pas des dispositions concernant les dépenses sociales obligatoires. </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Le Contrat type ne prévoit pas une disposition relative aux dépenses sociales obligatoires. Toutefois, les Entreprises réalisent des dépenses sociales dans le cadre de leurs responsabilités sociétales.</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b/>
                <w:lang w:val="fr-CA"/>
              </w:rPr>
              <w:t>6.2) Dépenses quasi budgétaires des entreprises d’</w:t>
            </w:r>
            <w:r w:rsidR="003E0BB3" w:rsidRPr="00C627DF">
              <w:rPr>
                <w:rFonts w:ascii="Arial" w:hAnsi="Arial" w:cs="Arial"/>
                <w:b/>
                <w:lang w:val="fr-CA"/>
              </w:rPr>
              <w:t>État</w:t>
            </w:r>
            <w:r w:rsidRPr="00C627DF">
              <w:rPr>
                <w:rFonts w:ascii="Arial" w:hAnsi="Arial" w:cs="Arial"/>
                <w:lang w:val="fr-CA"/>
              </w:rPr>
              <w:t xml:space="preserve"> </w:t>
            </w:r>
          </w:p>
          <w:p w:rsidR="003E0BB3" w:rsidRDefault="003E0BB3"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Significatif </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 xml:space="preserve">Le HCN n’a pas identifié les remboursements du projet Badoit comme un paiement quasi </w:t>
            </w:r>
            <w:r w:rsidRPr="00C627DF">
              <w:rPr>
                <w:rFonts w:ascii="Arial" w:hAnsi="Arial" w:cs="Arial"/>
                <w:lang w:val="fr-CA"/>
              </w:rPr>
              <w:lastRenderedPageBreak/>
              <w:t xml:space="preserve">fiscal. Ces paiements extra budgétaires ont été déclarés par Glencore et par la SHT. </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b/>
                <w:lang w:val="fr-CA"/>
              </w:rPr>
              <w:t>6.3) Aperçu de la contribution du secteur extractif à l’économie</w:t>
            </w:r>
            <w:r w:rsidRPr="00C627DF">
              <w:rPr>
                <w:rFonts w:ascii="Arial" w:hAnsi="Arial" w:cs="Arial"/>
                <w:lang w:val="fr-CA"/>
              </w:rPr>
              <w:t xml:space="preserve"> </w:t>
            </w:r>
          </w:p>
          <w:p w:rsidR="003E0BB3" w:rsidRDefault="003E0BB3"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Significatif </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r w:rsidRPr="00C627DF">
              <w:rPr>
                <w:rFonts w:ascii="Arial" w:hAnsi="Arial" w:cs="Arial"/>
                <w:lang w:val="fr-CA"/>
              </w:rPr>
              <w:t>Le Rapport ITIE 2018 donne un aperçu de la contribution du secteur extractif à l’économie mais sans les informations sur l’emploi.</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lang w:val="fr-CA"/>
              </w:rPr>
            </w:pPr>
            <w:r w:rsidRPr="00C627DF">
              <w:rPr>
                <w:rFonts w:ascii="Arial" w:hAnsi="Arial" w:cs="Arial"/>
                <w:b/>
                <w:lang w:val="fr-CA"/>
              </w:rPr>
              <w:t xml:space="preserve">(6.4) </w:t>
            </w:r>
            <w:r w:rsidRPr="00C627DF">
              <w:rPr>
                <w:rFonts w:ascii="Arial" w:hAnsi="Arial" w:cs="Arial"/>
                <w:b/>
                <w:color w:val="000000" w:themeColor="text1"/>
                <w:lang w:val="fr-CA"/>
              </w:rPr>
              <w:t>impact environnemental des activités extractives</w:t>
            </w:r>
          </w:p>
          <w:p w:rsidR="003E0BB3" w:rsidRDefault="003E0BB3"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val="fr-CA"/>
              </w:rPr>
            </w:pPr>
            <w:r w:rsidRPr="00C627DF">
              <w:rPr>
                <w:rFonts w:ascii="Arial" w:eastAsia="Times New Roman" w:hAnsi="Arial" w:cs="Arial"/>
                <w:b/>
                <w:bCs/>
                <w:color w:val="000000" w:themeColor="text1"/>
                <w:lang w:val="fr-CA"/>
              </w:rPr>
              <w:t>Significatif</w:t>
            </w: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val="fr-CA"/>
              </w:rPr>
            </w:pPr>
          </w:p>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lang w:val="fr-CA"/>
              </w:rPr>
            </w:pPr>
            <w:r w:rsidRPr="00C627DF">
              <w:rPr>
                <w:rFonts w:ascii="Arial" w:eastAsia="Times New Roman" w:hAnsi="Arial" w:cs="Arial"/>
                <w:bCs/>
                <w:color w:val="000000" w:themeColor="text1"/>
                <w:lang w:val="fr-CA"/>
              </w:rPr>
              <w:t xml:space="preserve">Dans tous les Contrats de Partage de Production il y a </w:t>
            </w:r>
            <w:r w:rsidRPr="00C627DF">
              <w:rPr>
                <w:rFonts w:ascii="Arial" w:eastAsia="Times New Roman" w:hAnsi="Arial" w:cs="Arial"/>
                <w:b/>
                <w:bCs/>
                <w:color w:val="000000" w:themeColor="text1"/>
                <w:lang w:val="fr-CA"/>
              </w:rPr>
              <w:t>le</w:t>
            </w:r>
            <w:r w:rsidRPr="00C627DF">
              <w:rPr>
                <w:rFonts w:ascii="Arial" w:eastAsia="Times New Roman" w:hAnsi="Arial" w:cs="Arial"/>
                <w:bCs/>
                <w:color w:val="000000" w:themeColor="text1"/>
                <w:lang w:val="fr-CA"/>
              </w:rPr>
              <w:t xml:space="preserve"> volet impact de l’environnement </w:t>
            </w:r>
          </w:p>
          <w:p w:rsidR="00C627DF" w:rsidRPr="006349E9"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rPr>
            </w:pPr>
            <w:r w:rsidRPr="00C627DF">
              <w:rPr>
                <w:rFonts w:ascii="Arial" w:eastAsia="Times New Roman" w:hAnsi="Arial" w:cs="Arial"/>
                <w:bCs/>
                <w:color w:val="000000" w:themeColor="text1"/>
                <w:lang w:val="fr-CA"/>
              </w:rPr>
              <w:t xml:space="preserve"> </w:t>
            </w:r>
          </w:p>
          <w:p w:rsidR="00C627DF" w:rsidRPr="003720C9"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rPr>
            </w:pPr>
          </w:p>
        </w:tc>
      </w:tr>
      <w:tr w:rsidR="00C627DF" w:rsidRPr="003B03A5" w:rsidTr="009F4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none" w:sz="0" w:space="0" w:color="auto"/>
              <w:left w:val="none" w:sz="0" w:space="0" w:color="auto"/>
              <w:bottom w:val="none" w:sz="0" w:space="0" w:color="auto"/>
            </w:tcBorders>
          </w:tcPr>
          <w:p w:rsidR="00C627DF" w:rsidRPr="004D76B2" w:rsidRDefault="00C627DF" w:rsidP="009F411B">
            <w:pPr>
              <w:autoSpaceDE w:val="0"/>
              <w:autoSpaceDN w:val="0"/>
              <w:adjustRightInd w:val="0"/>
              <w:rPr>
                <w:rFonts w:ascii="Arial" w:hAnsi="Arial" w:cs="Arial"/>
                <w:sz w:val="24"/>
              </w:rPr>
            </w:pPr>
            <w:r w:rsidRPr="004D76B2">
              <w:rPr>
                <w:rFonts w:ascii="Arial" w:hAnsi="Arial" w:cs="Arial"/>
                <w:sz w:val="24"/>
              </w:rPr>
              <w:lastRenderedPageBreak/>
              <w:t>7</w:t>
            </w:r>
          </w:p>
        </w:tc>
        <w:tc>
          <w:tcPr>
            <w:tcW w:w="3658" w:type="dxa"/>
            <w:tcBorders>
              <w:top w:val="none" w:sz="0" w:space="0" w:color="auto"/>
              <w:bottom w:val="none" w:sz="0" w:space="0" w:color="auto"/>
            </w:tcBorders>
          </w:tcPr>
          <w:p w:rsidR="00C627DF" w:rsidRPr="00C627DF" w:rsidRDefault="00C627DF" w:rsidP="009F41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93D1"/>
                <w:lang w:val="fr-CA"/>
              </w:rPr>
            </w:pPr>
            <w:r w:rsidRPr="00C627DF">
              <w:rPr>
                <w:rFonts w:ascii="Arial" w:hAnsi="Arial" w:cs="Arial"/>
                <w:color w:val="0093D1"/>
                <w:lang w:val="fr-CA"/>
              </w:rPr>
              <w:t>EXIGENCE ITIE 7</w:t>
            </w:r>
          </w:p>
          <w:p w:rsidR="00C627DF" w:rsidRPr="00C627DF" w:rsidRDefault="00C627DF" w:rsidP="009F41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lang w:val="fr-CA"/>
              </w:rPr>
            </w:pPr>
            <w:r w:rsidRPr="00C627DF">
              <w:rPr>
                <w:rFonts w:ascii="Arial" w:hAnsi="Arial" w:cs="Arial"/>
                <w:b/>
                <w:bCs/>
                <w:color w:val="000000"/>
                <w:lang w:val="fr-CA"/>
              </w:rPr>
              <w:t>Résultats et impact.</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Des divulgations régulières de données sur l’industrie extractive ne sont guère utiles en pratique si elles ne s’accompagnent pas d’une sensibilisation du grand public sur la signification des chiffres publiés ainsi que d’un débat public sur l’utilisation efficace des revenus provenant des ressources naturelles. Les Exigences ITIE portant sur les résultats et l’impact cherchent à assurer l’engagement des parties prenantes dans un dialogue sur la gestion des revenus tirés de ces ressources. Les divulgations conduisent au respect des Principes de l’ITIE en contribuant à un débat public élargi. Il est également capital que les enseignements découlant de la mise en œuvre de l’ITIE soient mis en pratique, que les recommandations formulées au cours du processus soient examinées et suivies d’effet le cas échéant, enfin que la mise en </w:t>
            </w:r>
            <w:r w:rsidRPr="00C627DF">
              <w:rPr>
                <w:rFonts w:ascii="Arial" w:hAnsi="Arial" w:cs="Arial"/>
                <w:lang w:val="fr-CA"/>
              </w:rPr>
              <w:lastRenderedPageBreak/>
              <w:t>œuvre ITIE s’appuie sur un fondement stable et durable.</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fr-CA"/>
              </w:rPr>
            </w:pPr>
            <w:r w:rsidRPr="00C627DF">
              <w:rPr>
                <w:lang w:val="fr-CA"/>
              </w:rPr>
              <w:t>7.1 Débat public</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fr-CA"/>
              </w:rPr>
            </w:pPr>
            <w:r w:rsidRPr="00C627DF">
              <w:rPr>
                <w:lang w:val="fr-CA"/>
              </w:rPr>
              <w:t>7.2 Accessibilité des données et données ouverte</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lang w:val="fr-CA"/>
              </w:rPr>
            </w:pPr>
            <w:r w:rsidRPr="00C627DF">
              <w:rPr>
                <w:lang w:val="fr-CA"/>
              </w:rPr>
              <w:t>7.3 Recommandations tirées de la mise en œuvre de l’ITIE</w:t>
            </w:r>
          </w:p>
          <w:p w:rsidR="00C627DF" w:rsidRPr="00C627DF" w:rsidRDefault="00C627DF" w:rsidP="009F411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lang w:val="fr-CA"/>
              </w:rPr>
              <w:t>7.4 Examen des résultats et de l’impact de la mise en œuvre de l’ITIE</w:t>
            </w:r>
          </w:p>
        </w:tc>
        <w:tc>
          <w:tcPr>
            <w:tcW w:w="4592" w:type="dxa"/>
            <w:tcBorders>
              <w:top w:val="none" w:sz="0" w:space="0" w:color="auto"/>
              <w:bottom w:val="none" w:sz="0" w:space="0" w:color="auto"/>
              <w:right w:val="none" w:sz="0" w:space="0" w:color="auto"/>
            </w:tcBorders>
          </w:tcPr>
          <w:p w:rsidR="00C627DF" w:rsidRPr="00C627DF" w:rsidRDefault="00C627DF" w:rsidP="009F411B">
            <w:pPr>
              <w:widowControl w:val="0"/>
              <w:autoSpaceDE w:val="0"/>
              <w:autoSpaceDN w:val="0"/>
              <w:adjustRightInd w:val="0"/>
              <w:spacing w:after="60"/>
              <w:ind w:left="36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b/>
                <w:lang w:val="fr-CA"/>
              </w:rPr>
              <w:t>7.1) Débats Publics</w:t>
            </w:r>
            <w:r w:rsidRPr="00C627DF">
              <w:rPr>
                <w:rFonts w:ascii="Arial" w:hAnsi="Arial" w:cs="Arial"/>
                <w:lang w:val="fr-CA"/>
              </w:rPr>
              <w:t xml:space="preserve"> </w:t>
            </w:r>
          </w:p>
          <w:p w:rsidR="003E0BB3" w:rsidRDefault="003E0BB3"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 xml:space="preserve">Significatif </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Les Rapports ITIE ont été disséminés dans les 10 arrondissements </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lang w:val="fr-CA"/>
              </w:rPr>
              <w:t xml:space="preserve"> </w:t>
            </w:r>
            <w:r w:rsidRPr="00C627DF">
              <w:rPr>
                <w:rFonts w:ascii="Arial" w:hAnsi="Arial" w:cs="Arial"/>
                <w:b/>
                <w:lang w:val="fr-CA"/>
              </w:rPr>
              <w:t>7.2) Accessibilité des données et données ouvertes</w:t>
            </w:r>
          </w:p>
          <w:p w:rsidR="003E0BB3" w:rsidRDefault="003E0BB3"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b/>
                <w:lang w:val="fr-CA"/>
              </w:rPr>
              <w:t xml:space="preserve">Satisfaisant </w:t>
            </w:r>
          </w:p>
          <w:p w:rsidR="003B03A5" w:rsidRPr="003B03A5" w:rsidRDefault="00C627DF" w:rsidP="003B03A5">
            <w:pPr>
              <w:spacing w:before="0" w:after="160" w:line="259" w:lineRule="auto"/>
              <w:contextualSpacing/>
              <w:cnfStyle w:val="000000100000" w:firstRow="0" w:lastRow="0" w:firstColumn="0" w:lastColumn="0" w:oddVBand="0" w:evenVBand="0" w:oddHBand="1" w:evenHBand="0" w:firstRowFirstColumn="0" w:firstRowLastColumn="0" w:lastRowFirstColumn="0" w:lastRowLastColumn="0"/>
              <w:rPr>
                <w:lang w:val="fr-CA"/>
              </w:rPr>
            </w:pPr>
            <w:r w:rsidRPr="003B03A5">
              <w:rPr>
                <w:rFonts w:ascii="Arial" w:hAnsi="Arial" w:cs="Arial"/>
                <w:lang w:val="fr-CA"/>
              </w:rPr>
              <w:t>Le HCN a adopté une politique des données ouvertes et les d</w:t>
            </w:r>
            <w:r w:rsidR="00D4458E" w:rsidRPr="003B03A5">
              <w:rPr>
                <w:rFonts w:ascii="Arial" w:hAnsi="Arial" w:cs="Arial"/>
                <w:lang w:val="fr-CA"/>
              </w:rPr>
              <w:t xml:space="preserve">onnées sont disponibles en suivant ce </w:t>
            </w:r>
            <w:proofErr w:type="gramStart"/>
            <w:r w:rsidR="00D4458E" w:rsidRPr="003B03A5">
              <w:rPr>
                <w:rFonts w:ascii="Arial" w:hAnsi="Arial" w:cs="Arial"/>
                <w:lang w:val="fr-CA"/>
              </w:rPr>
              <w:t>lien</w:t>
            </w:r>
            <w:r w:rsidR="00D4458E" w:rsidRPr="003B03A5">
              <w:rPr>
                <w:lang w:val="fr-CA"/>
              </w:rPr>
              <w:t xml:space="preserve">  </w:t>
            </w:r>
            <w:proofErr w:type="gramEnd"/>
            <w:r w:rsidR="003B03A5" w:rsidRPr="003B03A5">
              <w:fldChar w:fldCharType="begin"/>
            </w:r>
            <w:r w:rsidR="003B03A5" w:rsidRPr="003B03A5">
              <w:rPr>
                <w:lang w:val="fr-CA"/>
              </w:rPr>
              <w:instrText xml:space="preserve"> HYPERLINK "https://itie-chad.org/wp-content/uploads/2022/03/Politique-des-donnees-ouvertes.pdf" </w:instrText>
            </w:r>
            <w:r w:rsidR="003B03A5" w:rsidRPr="003B03A5">
              <w:fldChar w:fldCharType="separate"/>
            </w:r>
            <w:r w:rsidR="003B03A5" w:rsidRPr="003B03A5">
              <w:rPr>
                <w:rStyle w:val="Lienhypertexte"/>
                <w:lang w:val="fr-CA"/>
              </w:rPr>
              <w:t>https://itie-chad.org/wp-content/uploads/2022/03/Politique-des-donnees-ouvertes.pdf</w:t>
            </w:r>
            <w:r w:rsidR="003B03A5" w:rsidRPr="003B03A5">
              <w:fldChar w:fldCharType="end"/>
            </w:r>
          </w:p>
          <w:p w:rsidR="003B03A5" w:rsidRPr="003B03A5" w:rsidRDefault="003B03A5" w:rsidP="003B03A5">
            <w:pPr>
              <w:pStyle w:val="Paragraphedeliste"/>
              <w:cnfStyle w:val="000000100000" w:firstRow="0" w:lastRow="0" w:firstColumn="0" w:lastColumn="0" w:oddVBand="0" w:evenVBand="0" w:oddHBand="1" w:evenHBand="0" w:firstRowFirstColumn="0" w:firstRowLastColumn="0" w:lastRowFirstColumn="0" w:lastRowLastColumn="0"/>
              <w:rPr>
                <w:lang w:val="fr-CA"/>
              </w:rPr>
            </w:pPr>
          </w:p>
          <w:p w:rsidR="00D4458E" w:rsidRPr="00D4458E" w:rsidRDefault="00D4458E" w:rsidP="00D4458E">
            <w:pPr>
              <w:spacing w:before="0" w:after="160" w:line="259" w:lineRule="auto"/>
              <w:contextualSpacing/>
              <w:cnfStyle w:val="000000100000" w:firstRow="0" w:lastRow="0" w:firstColumn="0" w:lastColumn="0" w:oddVBand="0" w:evenVBand="0" w:oddHBand="1" w:evenHBand="0" w:firstRowFirstColumn="0" w:firstRowLastColumn="0" w:lastRowFirstColumn="0" w:lastRowLastColumn="0"/>
              <w:rPr>
                <w:color w:val="0563C1" w:themeColor="hyperlink"/>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 xml:space="preserve"> </w:t>
            </w:r>
            <w:r w:rsidRPr="00C627DF">
              <w:rPr>
                <w:rFonts w:ascii="Arial" w:hAnsi="Arial" w:cs="Arial"/>
                <w:b/>
                <w:lang w:val="fr-CA"/>
              </w:rPr>
              <w:t>7.3)</w:t>
            </w:r>
            <w:r w:rsidRPr="00C627DF">
              <w:rPr>
                <w:rFonts w:ascii="Arial" w:hAnsi="Arial" w:cs="Arial"/>
                <w:lang w:val="fr-CA"/>
              </w:rPr>
              <w:t xml:space="preserve"> </w:t>
            </w:r>
            <w:r w:rsidRPr="00C627DF">
              <w:rPr>
                <w:rFonts w:ascii="Arial" w:hAnsi="Arial" w:cs="Arial"/>
                <w:b/>
                <w:lang w:val="fr-CA"/>
              </w:rPr>
              <w:t xml:space="preserve">Recommandations tirées de la mise en œuvre de l’ITIE </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 xml:space="preserve">Satisfaisant </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r w:rsidRPr="00C627DF">
              <w:rPr>
                <w:rFonts w:ascii="Arial" w:hAnsi="Arial" w:cs="Arial"/>
                <w:lang w:val="fr-CA"/>
              </w:rPr>
              <w:t>Un comité est mis en place pour le suivi des recommandations antérieures et des mesures correctives/</w:t>
            </w:r>
          </w:p>
          <w:p w:rsidR="003B03A5" w:rsidRPr="003B03A5" w:rsidRDefault="00C627DF" w:rsidP="003B03A5">
            <w:pPr>
              <w:spacing w:before="0" w:after="160" w:line="259" w:lineRule="auto"/>
              <w:contextualSpacing/>
              <w:cnfStyle w:val="000000100000" w:firstRow="0" w:lastRow="0" w:firstColumn="0" w:lastColumn="0" w:oddVBand="0" w:evenVBand="0" w:oddHBand="1" w:evenHBand="0" w:firstRowFirstColumn="0" w:firstRowLastColumn="0" w:lastRowFirstColumn="0" w:lastRowLastColumn="0"/>
              <w:rPr>
                <w:lang w:val="fr-CA"/>
              </w:rPr>
            </w:pPr>
            <w:r w:rsidRPr="003B03A5">
              <w:rPr>
                <w:rFonts w:ascii="Arial" w:hAnsi="Arial" w:cs="Arial"/>
                <w:lang w:val="fr-CA"/>
              </w:rPr>
              <w:t>Arrê</w:t>
            </w:r>
            <w:r w:rsidR="00D4458E" w:rsidRPr="003B03A5">
              <w:rPr>
                <w:rFonts w:ascii="Arial" w:hAnsi="Arial" w:cs="Arial"/>
                <w:lang w:val="fr-CA"/>
              </w:rPr>
              <w:t xml:space="preserve">té </w:t>
            </w:r>
            <w:r w:rsidR="00D4458E" w:rsidRPr="003B03A5">
              <w:rPr>
                <w:lang w:val="fr-CA"/>
              </w:rPr>
              <w:t xml:space="preserve">N°44 /PR/MPME/HCN/CSTP Création Comité de Suivi des Mesures Correctives </w:t>
            </w:r>
            <w:hyperlink r:id="rId20" w:history="1">
              <w:r w:rsidR="003B03A5" w:rsidRPr="003B03A5">
                <w:rPr>
                  <w:rStyle w:val="Lienhypertexte"/>
                  <w:lang w:val="fr-CA"/>
                </w:rPr>
                <w:t>https://itie-chad.org/wp-content/uploads/2022/03/ARRETE-044-PR-MPME-HCN-2020.pdf</w:t>
              </w:r>
            </w:hyperlink>
          </w:p>
          <w:p w:rsidR="003B03A5" w:rsidRPr="003B03A5" w:rsidRDefault="003B03A5" w:rsidP="003B03A5">
            <w:pPr>
              <w:pStyle w:val="Paragraphedeliste"/>
              <w:cnfStyle w:val="000000100000" w:firstRow="0" w:lastRow="0" w:firstColumn="0" w:lastColumn="0" w:oddVBand="0" w:evenVBand="0" w:oddHBand="1" w:evenHBand="0" w:firstRowFirstColumn="0" w:firstRowLastColumn="0" w:lastRowFirstColumn="0" w:lastRowLastColumn="0"/>
              <w:rPr>
                <w:lang w:val="fr-CA"/>
              </w:rPr>
            </w:pPr>
          </w:p>
          <w:p w:rsidR="00D4458E" w:rsidRPr="00D4458E" w:rsidRDefault="00D4458E" w:rsidP="00D4458E">
            <w:pPr>
              <w:spacing w:before="0" w:after="160" w:line="259" w:lineRule="auto"/>
              <w:contextualSpacing/>
              <w:cnfStyle w:val="000000100000" w:firstRow="0" w:lastRow="0" w:firstColumn="0" w:lastColumn="0" w:oddVBand="0" w:evenVBand="0" w:oddHBand="1" w:evenHBand="0" w:firstRowFirstColumn="0" w:firstRowLastColumn="0" w:lastRowFirstColumn="0" w:lastRowLastColumn="0"/>
              <w:rPr>
                <w:lang w:val="fr-CA"/>
              </w:rPr>
            </w:pPr>
          </w:p>
          <w:p w:rsidR="00C627DF" w:rsidRPr="00D4458E" w:rsidRDefault="00C627DF" w:rsidP="009F411B">
            <w:pPr>
              <w:cnfStyle w:val="000000100000" w:firstRow="0" w:lastRow="0" w:firstColumn="0" w:lastColumn="0" w:oddVBand="0" w:evenVBand="0" w:oddHBand="1" w:evenHBand="0" w:firstRowFirstColumn="0" w:firstRowLastColumn="0" w:lastRowFirstColumn="0" w:lastRowLastColumn="0"/>
              <w:rPr>
                <w:rFonts w:ascii="Arial" w:hAnsi="Arial" w:cs="Arial"/>
                <w:strike/>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b/>
                <w:lang w:val="fr-CA"/>
              </w:rPr>
              <w:t>7.4) Examen des résultats et de l’impact de la mise en œuvre de l’ITIE</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lang w:val="fr-CA"/>
              </w:rPr>
            </w:pPr>
            <w:r w:rsidRPr="00C627DF">
              <w:rPr>
                <w:rFonts w:ascii="Arial" w:hAnsi="Arial" w:cs="Arial"/>
                <w:lang w:val="fr-CA"/>
              </w:rPr>
              <w:t xml:space="preserve"> </w:t>
            </w:r>
            <w:r w:rsidRPr="00C627DF">
              <w:rPr>
                <w:rFonts w:ascii="Arial" w:hAnsi="Arial" w:cs="Arial"/>
                <w:b/>
                <w:lang w:val="fr-CA"/>
              </w:rPr>
              <w:t>Satisfaisant</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fr-CA"/>
              </w:rPr>
            </w:pPr>
            <w:r w:rsidRPr="00C627DF">
              <w:rPr>
                <w:rFonts w:ascii="Arial" w:hAnsi="Arial" w:cs="Arial"/>
                <w:color w:val="000000" w:themeColor="text1"/>
                <w:lang w:val="fr-CA"/>
              </w:rPr>
              <w:t xml:space="preserve">Le présent rapport d’activités quadriennal 2018-2021 de l’ITIE Tchad contient des informations sur les efforts réalisés dans la mise en œuvre du plan d’action et des exigences de l’ITIE. </w:t>
            </w: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CA"/>
              </w:rPr>
            </w:pPr>
          </w:p>
          <w:p w:rsidR="00C627DF" w:rsidRPr="00C627DF" w:rsidRDefault="00C627DF" w:rsidP="009F411B">
            <w:pPr>
              <w:widowControl w:val="0"/>
              <w:autoSpaceDE w:val="0"/>
              <w:autoSpaceDN w:val="0"/>
              <w:adjustRightInd w:val="0"/>
              <w:spacing w:after="60"/>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fr-CA"/>
              </w:rPr>
            </w:pPr>
            <w:r w:rsidRPr="00C627DF">
              <w:rPr>
                <w:rFonts w:ascii="Arial" w:hAnsi="Arial" w:cs="Arial"/>
                <w:lang w:val="fr-CA"/>
              </w:rPr>
              <w:t xml:space="preserve">Le HCN cherche à pérenniser l’ITIE à travers des </w:t>
            </w:r>
            <w:r w:rsidR="00D4458E" w:rsidRPr="00C627DF">
              <w:rPr>
                <w:rFonts w:ascii="Arial" w:hAnsi="Arial" w:cs="Arial"/>
                <w:lang w:val="fr-CA"/>
              </w:rPr>
              <w:t>Études</w:t>
            </w:r>
            <w:r w:rsidRPr="00C627DF">
              <w:rPr>
                <w:rFonts w:ascii="Arial" w:hAnsi="Arial" w:cs="Arial"/>
                <w:lang w:val="fr-CA"/>
              </w:rPr>
              <w:t xml:space="preserve"> financées par la Banque Mondiale </w:t>
            </w:r>
            <w:r w:rsidRPr="00C627DF">
              <w:rPr>
                <w:rFonts w:ascii="Arial" w:hAnsi="Arial" w:cs="Arial"/>
                <w:color w:val="FF0000"/>
                <w:lang w:val="fr-CA"/>
              </w:rPr>
              <w:t xml:space="preserve"> </w:t>
            </w:r>
          </w:p>
        </w:tc>
      </w:tr>
      <w:tr w:rsidR="00C627DF" w:rsidRPr="003B03A5" w:rsidTr="009F411B">
        <w:tc>
          <w:tcPr>
            <w:cnfStyle w:val="001000000000" w:firstRow="0" w:lastRow="0" w:firstColumn="1" w:lastColumn="0" w:oddVBand="0" w:evenVBand="0" w:oddHBand="0" w:evenHBand="0" w:firstRowFirstColumn="0" w:firstRowLastColumn="0" w:lastRowFirstColumn="0" w:lastRowLastColumn="0"/>
            <w:tcW w:w="392" w:type="dxa"/>
          </w:tcPr>
          <w:p w:rsidR="00C627DF" w:rsidRPr="00C627DF" w:rsidRDefault="00C627DF" w:rsidP="009F411B">
            <w:pPr>
              <w:autoSpaceDE w:val="0"/>
              <w:autoSpaceDN w:val="0"/>
              <w:adjustRightInd w:val="0"/>
              <w:rPr>
                <w:rFonts w:ascii="Arial" w:hAnsi="Arial" w:cs="Arial"/>
                <w:sz w:val="24"/>
                <w:lang w:val="fr-CA"/>
              </w:rPr>
            </w:pPr>
          </w:p>
        </w:tc>
        <w:tc>
          <w:tcPr>
            <w:tcW w:w="3658" w:type="dxa"/>
          </w:tcPr>
          <w:p w:rsidR="00C627DF" w:rsidRPr="00C627DF" w:rsidRDefault="00C627DF" w:rsidP="009F41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lang w:val="fr-CA"/>
              </w:rPr>
            </w:pPr>
          </w:p>
        </w:tc>
        <w:tc>
          <w:tcPr>
            <w:tcW w:w="4592" w:type="dxa"/>
          </w:tcPr>
          <w:p w:rsidR="00C627DF" w:rsidRPr="00C627DF" w:rsidRDefault="00C627DF" w:rsidP="009F411B">
            <w:pPr>
              <w:widowControl w:val="0"/>
              <w:autoSpaceDE w:val="0"/>
              <w:autoSpaceDN w:val="0"/>
              <w:adjustRightInd w:val="0"/>
              <w:spacing w:after="60"/>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fr-CA"/>
              </w:rPr>
            </w:pPr>
          </w:p>
        </w:tc>
      </w:tr>
    </w:tbl>
    <w:p w:rsidR="00C627DF" w:rsidRPr="00C627DF" w:rsidRDefault="00C627DF" w:rsidP="00C627DF">
      <w:pPr>
        <w:rPr>
          <w:lang w:val="fr-CA"/>
        </w:rPr>
      </w:pPr>
      <w:bookmarkStart w:id="6" w:name="_Toc411512159"/>
    </w:p>
    <w:p w:rsidR="00C627DF" w:rsidRDefault="00C627DF" w:rsidP="00C627DF">
      <w:pPr>
        <w:pStyle w:val="Titre1"/>
        <w:numPr>
          <w:ilvl w:val="0"/>
          <w:numId w:val="2"/>
        </w:numPr>
        <w:spacing w:before="480" w:after="0"/>
        <w:rPr>
          <w:rFonts w:asciiTheme="minorHAnsi" w:hAnsiTheme="minorHAnsi"/>
          <w:color w:val="000000" w:themeColor="text1"/>
          <w:sz w:val="32"/>
          <w:szCs w:val="32"/>
          <w:u w:val="single"/>
          <w:lang w:val="fr-CA"/>
        </w:rPr>
      </w:pPr>
      <w:r w:rsidRPr="00C627DF">
        <w:rPr>
          <w:rFonts w:asciiTheme="minorHAnsi" w:hAnsiTheme="minorHAnsi"/>
          <w:color w:val="000000" w:themeColor="text1"/>
          <w:sz w:val="32"/>
          <w:szCs w:val="32"/>
          <w:u w:val="single"/>
          <w:lang w:val="fr-CA"/>
        </w:rPr>
        <w:t>APERCU DES REPONSES DU GROUPE MULTIPARTITE AUX RECOMMANDATIONS ISSUES DE LA RECONCILIATION ET DE LA VALIDATION </w:t>
      </w:r>
    </w:p>
    <w:p w:rsidR="008B0F54" w:rsidRPr="003C0F2F" w:rsidRDefault="003C0F2F" w:rsidP="003C0F2F">
      <w:pPr>
        <w:jc w:val="both"/>
        <w:rPr>
          <w:rFonts w:ascii="Arial" w:hAnsi="Arial"/>
          <w:sz w:val="24"/>
          <w:lang w:val="fr-CA"/>
        </w:rPr>
      </w:pPr>
      <w:r w:rsidRPr="003C0F2F">
        <w:rPr>
          <w:rFonts w:ascii="Arial" w:hAnsi="Arial"/>
          <w:sz w:val="24"/>
          <w:lang w:val="fr-CA"/>
        </w:rPr>
        <w:t>L’Administrateur Indépendant a émis des recommandations préconisant des améliorations spécifiques</w:t>
      </w:r>
      <w:r w:rsidRPr="003C0F2F">
        <w:rPr>
          <w:rFonts w:ascii="Calibri" w:hAnsi="Calibri"/>
          <w:lang w:val="fr-CA"/>
        </w:rPr>
        <w:t xml:space="preserve"> </w:t>
      </w:r>
      <w:r w:rsidRPr="003C0F2F">
        <w:rPr>
          <w:rFonts w:ascii="Arial" w:hAnsi="Arial"/>
          <w:sz w:val="24"/>
          <w:lang w:val="fr-CA"/>
        </w:rPr>
        <w:t>qui pourraient aider le Tchad à optimiser son utilisation de l’ITIE comme outil d’accompagnement des réformes</w:t>
      </w:r>
      <w:r w:rsidRPr="003C0F2F">
        <w:rPr>
          <w:rFonts w:ascii="Calibri" w:hAnsi="Calibri"/>
          <w:lang w:val="fr-CA"/>
        </w:rPr>
        <w:t xml:space="preserve"> </w:t>
      </w:r>
      <w:r w:rsidRPr="003C0F2F">
        <w:rPr>
          <w:rFonts w:ascii="Arial" w:hAnsi="Arial"/>
          <w:sz w:val="24"/>
          <w:lang w:val="fr-CA"/>
        </w:rPr>
        <w:t xml:space="preserve">et de la gouvernance publique des industries extractives. </w:t>
      </w:r>
    </w:p>
    <w:p w:rsidR="00C627DF" w:rsidRDefault="00C627DF" w:rsidP="00964112">
      <w:pPr>
        <w:pStyle w:val="Paragraphedeliste"/>
        <w:numPr>
          <w:ilvl w:val="0"/>
          <w:numId w:val="14"/>
        </w:numPr>
        <w:spacing w:before="0" w:after="200" w:line="276" w:lineRule="auto"/>
        <w:contextualSpacing/>
        <w:rPr>
          <w:rFonts w:ascii="Arial" w:hAnsi="Arial"/>
          <w:b/>
          <w:color w:val="FF0000"/>
          <w:u w:val="single"/>
          <w:lang w:val="fr-CA"/>
        </w:rPr>
      </w:pPr>
      <w:r w:rsidRPr="00C627DF">
        <w:rPr>
          <w:rFonts w:ascii="Arial" w:hAnsi="Arial"/>
          <w:b/>
          <w:lang w:val="fr-CA"/>
        </w:rPr>
        <w:t xml:space="preserve">- </w:t>
      </w:r>
      <w:r w:rsidRPr="00C627DF">
        <w:rPr>
          <w:rFonts w:ascii="Arial" w:hAnsi="Arial"/>
          <w:b/>
          <w:u w:val="single"/>
          <w:lang w:val="fr-CA"/>
        </w:rPr>
        <w:t>Réponses du groupe multipartite aux recommandations issues des Rapports ITIE 2016 à 2018.</w:t>
      </w:r>
      <w:r w:rsidRPr="00C627DF">
        <w:rPr>
          <w:rFonts w:ascii="Arial" w:hAnsi="Arial"/>
          <w:b/>
          <w:color w:val="FF0000"/>
          <w:u w:val="single"/>
          <w:lang w:val="fr-CA"/>
        </w:rPr>
        <w:t xml:space="preserve"> </w:t>
      </w:r>
    </w:p>
    <w:p w:rsidR="00D4458E" w:rsidRPr="003C0F2F" w:rsidRDefault="008B0F54" w:rsidP="003C0F2F">
      <w:pPr>
        <w:spacing w:before="0" w:after="160" w:line="259" w:lineRule="auto"/>
        <w:contextualSpacing/>
        <w:jc w:val="both"/>
        <w:rPr>
          <w:rFonts w:ascii="Arial" w:hAnsi="Arial"/>
          <w:color w:val="4472C4" w:themeColor="accent1"/>
          <w:sz w:val="24"/>
          <w:lang w:val="fr-CA"/>
        </w:rPr>
      </w:pPr>
      <w:r w:rsidRPr="003C0F2F">
        <w:rPr>
          <w:rFonts w:ascii="Arial" w:hAnsi="Arial"/>
          <w:sz w:val="24"/>
          <w:lang w:val="fr-CA"/>
        </w:rPr>
        <w:t xml:space="preserve">Sous l’AXE I du </w:t>
      </w:r>
      <w:r w:rsidR="00D4458E" w:rsidRPr="003C0F2F">
        <w:rPr>
          <w:rFonts w:ascii="Arial" w:hAnsi="Arial"/>
          <w:sz w:val="24"/>
          <w:lang w:val="fr-CA"/>
        </w:rPr>
        <w:t>PTA 2022</w:t>
      </w:r>
      <w:r w:rsidRPr="003C0F2F">
        <w:rPr>
          <w:rFonts w:ascii="Arial" w:hAnsi="Arial"/>
          <w:sz w:val="24"/>
          <w:lang w:val="fr-CA"/>
        </w:rPr>
        <w:t>,</w:t>
      </w:r>
      <w:r w:rsidR="00D4458E" w:rsidRPr="003C0F2F">
        <w:rPr>
          <w:rFonts w:ascii="Arial" w:hAnsi="Arial"/>
          <w:sz w:val="24"/>
          <w:lang w:val="fr-CA"/>
        </w:rPr>
        <w:t xml:space="preserve"> le HCN Mettra en œuvre au moins 50%e des 12 recommandations issues du rapport 2</w:t>
      </w:r>
      <w:r w:rsidRPr="003C0F2F">
        <w:rPr>
          <w:rFonts w:ascii="Arial" w:hAnsi="Arial"/>
          <w:sz w:val="24"/>
          <w:lang w:val="fr-CA"/>
        </w:rPr>
        <w:t xml:space="preserve">019 au cours de l'exercice 2022 </w:t>
      </w:r>
      <w:proofErr w:type="gramStart"/>
      <w:r w:rsidRPr="003C0F2F">
        <w:rPr>
          <w:rFonts w:ascii="Arial" w:hAnsi="Arial"/>
          <w:sz w:val="24"/>
          <w:lang w:val="fr-CA"/>
        </w:rPr>
        <w:t>et  Mettra</w:t>
      </w:r>
      <w:proofErr w:type="gramEnd"/>
      <w:r w:rsidR="00D4458E" w:rsidRPr="003C0F2F">
        <w:rPr>
          <w:rFonts w:ascii="Arial" w:hAnsi="Arial"/>
          <w:sz w:val="24"/>
          <w:lang w:val="fr-CA"/>
        </w:rPr>
        <w:t xml:space="preserve"> en œuvre au moins 5 recommandations sur les 30 issues des rapports précédents</w:t>
      </w:r>
      <w:r w:rsidRPr="003C0F2F">
        <w:rPr>
          <w:rFonts w:ascii="Arial" w:hAnsi="Arial"/>
          <w:sz w:val="24"/>
          <w:lang w:val="fr-CA"/>
        </w:rPr>
        <w:t>. Un nouveau Comité ad ’hoc Chargé de la relecture des recommandation est mis en place ARRETE 003 du 16 Mars 2022</w:t>
      </w:r>
      <w:r w:rsidR="003C0F2F">
        <w:rPr>
          <w:rFonts w:ascii="Arial" w:hAnsi="Arial"/>
          <w:sz w:val="24"/>
          <w:lang w:val="fr-CA"/>
        </w:rPr>
        <w:t xml:space="preserve"> </w:t>
      </w:r>
      <w:hyperlink r:id="rId21" w:history="1">
        <w:r w:rsidRPr="003C0F2F">
          <w:rPr>
            <w:rStyle w:val="Lienhypertexte"/>
            <w:rFonts w:ascii="Arial" w:hAnsi="Arial"/>
            <w:color w:val="4472C4" w:themeColor="accent1"/>
            <w:sz w:val="24"/>
            <w:lang w:val="fr-CA"/>
          </w:rPr>
          <w:t>https://itie-chad.org/wp-content/uploads/2022/03/Arrete-N%C2%B0003-du-16-mars-22-Creation-Comite-charge-de-Relcture-des-recommandations-et-mesures-correctives-des-rapports-2018-2019-1.pdf</w:t>
        </w:r>
      </w:hyperlink>
    </w:p>
    <w:p w:rsidR="00C627DF" w:rsidRPr="003C0F2F" w:rsidRDefault="00C627DF" w:rsidP="003C0F2F">
      <w:pPr>
        <w:pStyle w:val="Paragraphedeliste"/>
        <w:numPr>
          <w:ilvl w:val="0"/>
          <w:numId w:val="14"/>
        </w:numPr>
        <w:spacing w:before="0" w:after="200" w:line="276" w:lineRule="auto"/>
        <w:contextualSpacing/>
        <w:jc w:val="both"/>
        <w:rPr>
          <w:rFonts w:ascii="Arial" w:hAnsi="Arial"/>
          <w:b/>
          <w:color w:val="FF0000"/>
          <w:sz w:val="24"/>
          <w:u w:val="single"/>
          <w:lang w:val="fr-CA"/>
        </w:rPr>
      </w:pPr>
      <w:r w:rsidRPr="003C0F2F">
        <w:rPr>
          <w:rFonts w:ascii="Arial" w:hAnsi="Arial"/>
          <w:b/>
          <w:sz w:val="24"/>
          <w:lang w:val="fr-CA"/>
        </w:rPr>
        <w:lastRenderedPageBreak/>
        <w:t>-</w:t>
      </w:r>
      <w:r w:rsidRPr="003C0F2F">
        <w:rPr>
          <w:rFonts w:ascii="Arial" w:hAnsi="Arial"/>
          <w:b/>
          <w:sz w:val="24"/>
          <w:u w:val="single"/>
          <w:lang w:val="fr-CA"/>
        </w:rPr>
        <w:t>Suivi des mesures correctives issues de la dernière validation du Tchad.</w:t>
      </w:r>
      <w:bookmarkEnd w:id="6"/>
    </w:p>
    <w:p w:rsidR="003C0F2F" w:rsidRPr="003B03A5" w:rsidRDefault="008B0F54" w:rsidP="003C0F2F">
      <w:pPr>
        <w:spacing w:before="0" w:after="160" w:line="259" w:lineRule="auto"/>
        <w:contextualSpacing/>
        <w:jc w:val="both"/>
        <w:rPr>
          <w:rStyle w:val="Lienhypertexte"/>
          <w:rFonts w:ascii="Arial" w:hAnsi="Arial"/>
          <w:color w:val="4472C4" w:themeColor="accent1"/>
          <w:sz w:val="24"/>
          <w:lang w:val="fr-CA"/>
        </w:rPr>
      </w:pPr>
      <w:r w:rsidRPr="003C0F2F">
        <w:rPr>
          <w:rFonts w:ascii="Arial" w:hAnsi="Arial"/>
          <w:sz w:val="24"/>
          <w:lang w:val="fr-CA"/>
        </w:rPr>
        <w:t xml:space="preserve">Sous l’AXE II du PTA 2022, Le </w:t>
      </w:r>
      <w:proofErr w:type="gramStart"/>
      <w:r w:rsidRPr="003C0F2F">
        <w:rPr>
          <w:rFonts w:ascii="Arial" w:hAnsi="Arial"/>
          <w:sz w:val="24"/>
          <w:lang w:val="fr-CA"/>
        </w:rPr>
        <w:t xml:space="preserve">HCN </w:t>
      </w:r>
      <w:r w:rsidR="00C627DF" w:rsidRPr="003C0F2F">
        <w:rPr>
          <w:rFonts w:ascii="Arial" w:hAnsi="Arial"/>
          <w:sz w:val="24"/>
          <w:lang w:val="fr-CA"/>
        </w:rPr>
        <w:t xml:space="preserve"> </w:t>
      </w:r>
      <w:r w:rsidRPr="003C0F2F">
        <w:rPr>
          <w:rFonts w:ascii="Arial" w:hAnsi="Arial"/>
          <w:sz w:val="24"/>
          <w:lang w:val="fr-CA"/>
        </w:rPr>
        <w:t>Mettra</w:t>
      </w:r>
      <w:proofErr w:type="gramEnd"/>
      <w:r w:rsidRPr="003C0F2F">
        <w:rPr>
          <w:rFonts w:ascii="Arial" w:hAnsi="Arial"/>
          <w:sz w:val="24"/>
          <w:lang w:val="fr-CA"/>
        </w:rPr>
        <w:t xml:space="preserve">  en œuvre toutes les </w:t>
      </w:r>
      <w:r w:rsidR="00C627DF" w:rsidRPr="003C0F2F">
        <w:rPr>
          <w:rFonts w:ascii="Arial" w:hAnsi="Arial"/>
          <w:sz w:val="24"/>
          <w:lang w:val="fr-CA"/>
        </w:rPr>
        <w:t xml:space="preserve"> mesures correctives </w:t>
      </w:r>
      <w:r w:rsidRPr="003C0F2F">
        <w:rPr>
          <w:rFonts w:ascii="Arial" w:hAnsi="Arial"/>
          <w:sz w:val="24"/>
          <w:lang w:val="fr-CA"/>
        </w:rPr>
        <w:t xml:space="preserve">issues </w:t>
      </w:r>
      <w:r w:rsidR="00C627DF" w:rsidRPr="003C0F2F">
        <w:rPr>
          <w:rFonts w:ascii="Arial" w:hAnsi="Arial"/>
          <w:sz w:val="24"/>
          <w:lang w:val="fr-CA"/>
        </w:rPr>
        <w:t xml:space="preserve">de la validation </w:t>
      </w:r>
      <w:r w:rsidRPr="003C0F2F">
        <w:rPr>
          <w:rFonts w:ascii="Arial" w:hAnsi="Arial"/>
          <w:sz w:val="24"/>
          <w:lang w:val="fr-CA"/>
        </w:rPr>
        <w:t xml:space="preserve">de </w:t>
      </w:r>
      <w:r w:rsidR="00C627DF" w:rsidRPr="003C0F2F">
        <w:rPr>
          <w:rFonts w:ascii="Arial" w:hAnsi="Arial"/>
          <w:sz w:val="24"/>
          <w:lang w:val="fr-CA"/>
        </w:rPr>
        <w:t>2018</w:t>
      </w:r>
      <w:r w:rsidRPr="003C0F2F">
        <w:rPr>
          <w:rFonts w:ascii="Arial" w:hAnsi="Arial"/>
          <w:sz w:val="24"/>
          <w:lang w:val="fr-CA"/>
        </w:rPr>
        <w:t xml:space="preserve">. Un Comité a été créé </w:t>
      </w:r>
      <w:r w:rsidR="003C0F2F" w:rsidRPr="003C0F2F">
        <w:rPr>
          <w:rFonts w:ascii="Arial" w:hAnsi="Arial"/>
          <w:sz w:val="24"/>
          <w:lang w:val="fr-CA"/>
        </w:rPr>
        <w:t xml:space="preserve">pour le suivi des mesures </w:t>
      </w:r>
      <w:proofErr w:type="gramStart"/>
      <w:r w:rsidR="003C0F2F" w:rsidRPr="003C0F2F">
        <w:rPr>
          <w:rFonts w:ascii="Arial" w:hAnsi="Arial"/>
          <w:sz w:val="24"/>
          <w:lang w:val="fr-CA"/>
        </w:rPr>
        <w:t>correctives  et</w:t>
      </w:r>
      <w:proofErr w:type="gramEnd"/>
      <w:r w:rsidR="003C0F2F" w:rsidRPr="003C0F2F">
        <w:rPr>
          <w:rFonts w:ascii="Arial" w:hAnsi="Arial"/>
          <w:sz w:val="24"/>
          <w:lang w:val="fr-CA"/>
        </w:rPr>
        <w:t xml:space="preserve"> un tableau évaluant le suivi est  soumis  </w:t>
      </w:r>
      <w:hyperlink r:id="rId22" w:history="1">
        <w:r w:rsidR="003C0F2F" w:rsidRPr="003C0F2F">
          <w:rPr>
            <w:rStyle w:val="Lienhypertexte"/>
            <w:rFonts w:ascii="Arial" w:hAnsi="Arial"/>
            <w:color w:val="4472C4" w:themeColor="accent1"/>
            <w:sz w:val="24"/>
            <w:lang w:val="fr-CA"/>
          </w:rPr>
          <w:t>https://itie-chad.org/tableau-de-suivi-des-mesures-correctives/</w:t>
        </w:r>
      </w:hyperlink>
    </w:p>
    <w:p w:rsidR="003C0F2F" w:rsidRPr="003C0F2F" w:rsidRDefault="003C0F2F" w:rsidP="003C0F2F">
      <w:pPr>
        <w:spacing w:before="0" w:after="160" w:line="259" w:lineRule="auto"/>
        <w:contextualSpacing/>
        <w:jc w:val="both"/>
        <w:rPr>
          <w:rFonts w:ascii="Arial" w:hAnsi="Arial"/>
          <w:sz w:val="24"/>
          <w:lang w:val="fr-CA"/>
        </w:rPr>
      </w:pPr>
    </w:p>
    <w:p w:rsidR="00C627DF" w:rsidRPr="003C0F2F" w:rsidRDefault="003C0F2F" w:rsidP="003C0F2F">
      <w:pPr>
        <w:jc w:val="both"/>
        <w:rPr>
          <w:rFonts w:ascii="Arial" w:hAnsi="Arial"/>
          <w:sz w:val="24"/>
          <w:lang w:val="fr-CA"/>
        </w:rPr>
      </w:pPr>
      <w:r w:rsidRPr="003C0F2F">
        <w:rPr>
          <w:rFonts w:ascii="Arial" w:hAnsi="Arial"/>
          <w:sz w:val="24"/>
          <w:lang w:val="fr-CA"/>
        </w:rPr>
        <w:t xml:space="preserve"> Le HCN </w:t>
      </w:r>
      <w:r w:rsidR="008B0F54" w:rsidRPr="003C0F2F">
        <w:rPr>
          <w:rFonts w:ascii="Arial" w:hAnsi="Arial"/>
          <w:sz w:val="24"/>
          <w:lang w:val="fr-CA"/>
        </w:rPr>
        <w:t xml:space="preserve">a renseigné les trois fichiers Transparence, Impact et Engagement des Parties Prenantes </w:t>
      </w:r>
    </w:p>
    <w:p w:rsidR="003C0F2F" w:rsidRPr="00C627DF" w:rsidRDefault="003C0F2F" w:rsidP="00C627DF">
      <w:pPr>
        <w:rPr>
          <w:rFonts w:ascii="Arial" w:hAnsi="Arial"/>
          <w:sz w:val="24"/>
          <w:lang w:val="fr-CA"/>
        </w:rPr>
      </w:pPr>
    </w:p>
    <w:p w:rsidR="00C627DF" w:rsidRPr="00C627DF" w:rsidRDefault="00C627DF" w:rsidP="00964112">
      <w:pPr>
        <w:pStyle w:val="Paragraphedeliste"/>
        <w:numPr>
          <w:ilvl w:val="0"/>
          <w:numId w:val="2"/>
        </w:numPr>
        <w:spacing w:before="0" w:after="200" w:line="276" w:lineRule="auto"/>
        <w:contextualSpacing/>
        <w:rPr>
          <w:b/>
          <w:color w:val="000000" w:themeColor="text1"/>
          <w:sz w:val="32"/>
          <w:szCs w:val="32"/>
          <w:u w:val="single"/>
          <w:lang w:val="fr-CA"/>
        </w:rPr>
      </w:pPr>
      <w:r w:rsidRPr="00C627DF">
        <w:rPr>
          <w:b/>
          <w:color w:val="000000" w:themeColor="text1"/>
          <w:sz w:val="32"/>
          <w:szCs w:val="32"/>
          <w:u w:val="single"/>
          <w:lang w:val="fr-CA"/>
        </w:rPr>
        <w:t>IMPACT DE LA MISE EN ŒUVRE DE L’ITIE AU TCHAD</w:t>
      </w:r>
    </w:p>
    <w:p w:rsidR="00C627DF" w:rsidRPr="00C627DF" w:rsidRDefault="003C0F2F" w:rsidP="00C627DF">
      <w:pPr>
        <w:spacing w:after="0"/>
        <w:ind w:left="720"/>
        <w:rPr>
          <w:rFonts w:ascii="Arial" w:hAnsi="Arial"/>
          <w:b/>
          <w:u w:val="single"/>
          <w:lang w:val="fr-CA"/>
        </w:rPr>
      </w:pPr>
      <w:r>
        <w:rPr>
          <w:rFonts w:ascii="Arial" w:hAnsi="Arial"/>
          <w:b/>
          <w:lang w:val="fr-CA"/>
        </w:rPr>
        <w:t>a</w:t>
      </w:r>
      <w:r w:rsidR="00C627DF" w:rsidRPr="00C627DF">
        <w:rPr>
          <w:rFonts w:ascii="Arial" w:hAnsi="Arial"/>
          <w:b/>
          <w:lang w:val="fr-CA"/>
        </w:rPr>
        <w:t xml:space="preserve">- </w:t>
      </w:r>
      <w:r w:rsidR="00C627DF" w:rsidRPr="00C627DF">
        <w:rPr>
          <w:rFonts w:ascii="Arial" w:hAnsi="Arial"/>
          <w:b/>
          <w:u w:val="single"/>
          <w:lang w:val="fr-CA"/>
        </w:rPr>
        <w:t>les forces de la mise en œuvre au Tchad.</w:t>
      </w:r>
    </w:p>
    <w:p w:rsidR="00C627DF" w:rsidRPr="00C627DF" w:rsidRDefault="00C627DF" w:rsidP="00C627DF">
      <w:pPr>
        <w:spacing w:after="0"/>
        <w:jc w:val="both"/>
        <w:rPr>
          <w:rFonts w:ascii="Arial" w:hAnsi="Arial"/>
          <w:sz w:val="24"/>
          <w:lang w:val="fr-CA"/>
        </w:rPr>
      </w:pPr>
      <w:r w:rsidRPr="00C627DF">
        <w:rPr>
          <w:rFonts w:ascii="Arial" w:hAnsi="Arial"/>
          <w:sz w:val="24"/>
          <w:lang w:val="fr-CA"/>
        </w:rPr>
        <w:t>L’ITIE a de toute évidence contribué à renforcer la transparence dans les secteurs pétrolier et gazier tchadiens. Les Rapports ITIE constituent une source fiable d’informations pour l’ensemble des parties prenantes. La déclaration ITIE et les discussions qui en découlent ont permis de modifier peu à peu une mentalité de rétention des données au profit d’une nouvelle culture de partage de l’information entre les agences gouvernementales. En conséquence, le public a désormais accès à plus d’informations sur les contrats, les prêts adossés à des actifs pétroliers et les accords de vente, autant de sujets sensibles autrefois considérés comme tabous.</w:t>
      </w:r>
    </w:p>
    <w:p w:rsidR="00C627DF" w:rsidRPr="00C627DF" w:rsidRDefault="00C627DF" w:rsidP="00C627DF">
      <w:pPr>
        <w:spacing w:after="0"/>
        <w:jc w:val="both"/>
        <w:rPr>
          <w:rFonts w:ascii="Arial" w:hAnsi="Arial"/>
          <w:sz w:val="24"/>
          <w:lang w:val="fr-CA"/>
        </w:rPr>
      </w:pPr>
      <w:r w:rsidRPr="00C627DF">
        <w:rPr>
          <w:rFonts w:ascii="Arial" w:hAnsi="Arial"/>
          <w:sz w:val="24"/>
          <w:lang w:val="fr-CA"/>
        </w:rPr>
        <w:t>La publication des Rapports ITIE a également contribué à améliorer les systèmes gouvernementaux, permettant ainsi au gouvernement et à la société civile de contrôler les coûts de production et de transport, la vente des revenus perçus en nature et le transfert des bénéfices au Trésor public. A la date de publication de ce rapport, l’ITIE-Tchad est à sa 12</w:t>
      </w:r>
      <w:r w:rsidRPr="00C627DF">
        <w:rPr>
          <w:rFonts w:ascii="Arial" w:hAnsi="Arial"/>
          <w:sz w:val="24"/>
          <w:vertAlign w:val="superscript"/>
          <w:lang w:val="fr-CA"/>
        </w:rPr>
        <w:t>e</w:t>
      </w:r>
      <w:r w:rsidRPr="00C627DF">
        <w:rPr>
          <w:rFonts w:ascii="Arial" w:hAnsi="Arial"/>
          <w:sz w:val="24"/>
          <w:lang w:val="fr-CA"/>
        </w:rPr>
        <w:t xml:space="preserve"> année de mise en œuvre.</w:t>
      </w:r>
    </w:p>
    <w:p w:rsidR="00C627DF" w:rsidRPr="00C627DF" w:rsidRDefault="00C627DF" w:rsidP="00C627DF">
      <w:pPr>
        <w:autoSpaceDE w:val="0"/>
        <w:autoSpaceDN w:val="0"/>
        <w:adjustRightInd w:val="0"/>
        <w:spacing w:after="0"/>
        <w:jc w:val="both"/>
        <w:rPr>
          <w:rFonts w:ascii="Arial" w:hAnsi="Arial"/>
          <w:sz w:val="24"/>
          <w:lang w:val="fr-CA"/>
        </w:rPr>
      </w:pPr>
      <w:r w:rsidRPr="00C627DF">
        <w:rPr>
          <w:rFonts w:ascii="Arial" w:hAnsi="Arial"/>
          <w:sz w:val="24"/>
          <w:lang w:val="fr-CA"/>
        </w:rPr>
        <w:t>L’ITIE-Tchad a contribué à renforcer la capacité des autorités et des entreprises extractives à rendre des comptes par la publication régulière d’informations financières et contextuelles fiabilisées, précises et sincères sur le secteur extractif tchadien.</w:t>
      </w:r>
    </w:p>
    <w:p w:rsidR="00C627DF" w:rsidRPr="00C627DF" w:rsidRDefault="00C627DF" w:rsidP="00C627DF">
      <w:pPr>
        <w:spacing w:after="0"/>
        <w:jc w:val="both"/>
        <w:rPr>
          <w:rFonts w:ascii="Arial" w:hAnsi="Arial"/>
          <w:sz w:val="24"/>
          <w:lang w:val="fr-CA"/>
        </w:rPr>
      </w:pPr>
      <w:r w:rsidRPr="00C627DF">
        <w:rPr>
          <w:rFonts w:ascii="Arial" w:hAnsi="Arial"/>
          <w:sz w:val="24"/>
          <w:lang w:val="fr-CA"/>
        </w:rPr>
        <w:t xml:space="preserve">Le Tchad a progressivement étendu le champ d’application des déclarations ITIE, d’abord au secteur des transports puis au raffinage du pétrole domestique. Le Tchad ne se limite plus aux Exigences minimales en matière de description du régime fiscal et de confirmation des paiements effectivement versés par les entreprises, mais contrôle également le respect des obligations contractuelles imposant aux entreprises de verser une contribution au gouvernement au titre des flux de revenus principaux. </w:t>
      </w:r>
    </w:p>
    <w:p w:rsidR="00C627DF" w:rsidRPr="00C627DF" w:rsidRDefault="00C627DF" w:rsidP="00C627DF">
      <w:pPr>
        <w:spacing w:after="0"/>
        <w:jc w:val="both"/>
        <w:rPr>
          <w:rFonts w:ascii="Arial" w:hAnsi="Arial"/>
          <w:sz w:val="24"/>
          <w:lang w:val="fr-CA"/>
        </w:rPr>
      </w:pPr>
      <w:r w:rsidRPr="00C627DF">
        <w:rPr>
          <w:rFonts w:ascii="Arial" w:hAnsi="Arial"/>
          <w:sz w:val="24"/>
          <w:lang w:val="fr-CA"/>
        </w:rPr>
        <w:t xml:space="preserve">En outre, le Tchad poursuit ses efforts visant à publier tous les contrats extractifs valides dans les 90 jours suivant leur signature. Ses Rapports ITIE les plus récents comportent des informations plus détaillées sur la vente de pétrole pour le compte de l’État, les coûts de production et de transport, le remboursement des prêts adossés à des actifs pétroliers et d’autres dépenses connexes. </w:t>
      </w:r>
    </w:p>
    <w:p w:rsidR="006C5380" w:rsidRPr="00C627DF" w:rsidRDefault="00C627DF" w:rsidP="00C627DF">
      <w:pPr>
        <w:spacing w:after="0"/>
        <w:jc w:val="both"/>
        <w:rPr>
          <w:rFonts w:ascii="Arial" w:hAnsi="Arial"/>
          <w:sz w:val="24"/>
          <w:lang w:val="fr-CA"/>
        </w:rPr>
      </w:pPr>
      <w:r w:rsidRPr="00C627DF">
        <w:rPr>
          <w:rFonts w:ascii="Arial" w:hAnsi="Arial"/>
          <w:sz w:val="24"/>
          <w:lang w:val="fr-CA"/>
        </w:rPr>
        <w:t xml:space="preserve">Forte de ce soutien politique de haut niveau, l’Initiative fait aujourd’hui, incontestablement, partie du paysage institutionnel du pays. Cet engagement soutenu </w:t>
      </w:r>
      <w:r w:rsidRPr="00C627DF">
        <w:rPr>
          <w:rFonts w:ascii="Arial" w:hAnsi="Arial"/>
          <w:sz w:val="24"/>
          <w:lang w:val="fr-CA"/>
        </w:rPr>
        <w:lastRenderedPageBreak/>
        <w:t>des autorités tchadiennes envers l’ITIE constitue un gage de durabilité qui mérite d’être entretenu.</w:t>
      </w:r>
    </w:p>
    <w:p w:rsidR="00C627DF" w:rsidRDefault="006C5380" w:rsidP="006C5380">
      <w:pPr>
        <w:spacing w:after="0"/>
        <w:ind w:left="720"/>
        <w:rPr>
          <w:rFonts w:ascii="Arial" w:hAnsi="Arial"/>
          <w:b/>
          <w:u w:val="single"/>
          <w:lang w:val="fr-CA"/>
        </w:rPr>
      </w:pPr>
      <w:r>
        <w:rPr>
          <w:rFonts w:ascii="Arial" w:hAnsi="Arial"/>
          <w:b/>
          <w:lang w:val="fr-CA"/>
        </w:rPr>
        <w:t>b</w:t>
      </w:r>
      <w:r w:rsidRPr="00C627DF">
        <w:rPr>
          <w:rFonts w:ascii="Arial" w:hAnsi="Arial"/>
          <w:b/>
          <w:lang w:val="fr-CA"/>
        </w:rPr>
        <w:t xml:space="preserve">- </w:t>
      </w:r>
      <w:r w:rsidRPr="00C627DF">
        <w:rPr>
          <w:rFonts w:ascii="Arial" w:hAnsi="Arial"/>
          <w:b/>
          <w:u w:val="single"/>
          <w:lang w:val="fr-CA"/>
        </w:rPr>
        <w:t>les faiblesse</w:t>
      </w:r>
      <w:r>
        <w:rPr>
          <w:rFonts w:ascii="Arial" w:hAnsi="Arial"/>
          <w:b/>
          <w:u w:val="single"/>
          <w:lang w:val="fr-CA"/>
        </w:rPr>
        <w:t>s de la mise en œuvre au Tchad.</w:t>
      </w:r>
    </w:p>
    <w:p w:rsidR="006C5380" w:rsidRPr="006C5380" w:rsidRDefault="006C5380" w:rsidP="006C5380">
      <w:pPr>
        <w:spacing w:after="0"/>
        <w:ind w:left="720"/>
        <w:rPr>
          <w:rFonts w:ascii="Arial" w:hAnsi="Arial"/>
          <w:b/>
          <w:u w:val="single"/>
          <w:lang w:val="fr-CA"/>
        </w:rPr>
      </w:pP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Le niveau de connaissance des membres est divers. Il y a nécessité à multiplier les actions de renforcement des capacités pour maximiser la production du HCN</w:t>
      </w: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Absence de fonds pour la réalisation des activités</w:t>
      </w: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Difficultés à mobiliser toute la subvention allouée à l’ITIE</w:t>
      </w: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 xml:space="preserve">La suppression du Collège de Contrôle et de Surveillance des Revenus Pétrolier limite certaines activités relatives au suivi des transferts infranationaux et les dépenses liées aux secteurs prioritaires. </w:t>
      </w: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Non certification des Données par la Cour des Comptes et/ou Chambre des Comptes.</w:t>
      </w: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l’utilisation manuelle des informations sur la collecte des données.</w:t>
      </w: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le circuit des recettes est non informatisé</w:t>
      </w: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Absence d’un cadastre pétrolier et minier.</w:t>
      </w: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Le Ministère du Pétrole ne dispose pas d’un site opérationnel</w:t>
      </w:r>
    </w:p>
    <w:p w:rsidR="00C627DF" w:rsidRPr="00C627DF" w:rsidRDefault="00C627DF" w:rsidP="00964112">
      <w:pPr>
        <w:pStyle w:val="Paragraphedeliste"/>
        <w:numPr>
          <w:ilvl w:val="0"/>
          <w:numId w:val="17"/>
        </w:numPr>
        <w:spacing w:before="0" w:after="0" w:line="276" w:lineRule="auto"/>
        <w:contextualSpacing/>
        <w:jc w:val="both"/>
        <w:rPr>
          <w:rFonts w:ascii="Arial" w:hAnsi="Arial"/>
          <w:sz w:val="24"/>
          <w:lang w:val="fr-CA"/>
        </w:rPr>
      </w:pPr>
      <w:r w:rsidRPr="00C627DF">
        <w:rPr>
          <w:rFonts w:ascii="Arial" w:hAnsi="Arial"/>
          <w:sz w:val="24"/>
          <w:lang w:val="fr-CA"/>
        </w:rPr>
        <w:t>La non application de la loi 02 /PR/2014 sur la répartition des revenus pétroliers/</w:t>
      </w:r>
    </w:p>
    <w:p w:rsidR="00C627DF" w:rsidRPr="00C627DF" w:rsidRDefault="00C627DF" w:rsidP="00C627DF">
      <w:pPr>
        <w:spacing w:after="0"/>
        <w:rPr>
          <w:rFonts w:ascii="Arial" w:hAnsi="Arial"/>
          <w:lang w:val="fr-CA"/>
        </w:rPr>
      </w:pPr>
    </w:p>
    <w:p w:rsidR="00C627DF" w:rsidRPr="00C627DF" w:rsidRDefault="00C627DF" w:rsidP="00C627DF">
      <w:pPr>
        <w:rPr>
          <w:rFonts w:ascii="Arial" w:hAnsi="Arial"/>
          <w:lang w:val="fr-CA"/>
        </w:rPr>
      </w:pPr>
    </w:p>
    <w:p w:rsidR="00C627DF" w:rsidRPr="00490013" w:rsidRDefault="00C627DF" w:rsidP="00C627DF">
      <w:pPr>
        <w:autoSpaceDE w:val="0"/>
        <w:autoSpaceDN w:val="0"/>
        <w:adjustRightInd w:val="0"/>
        <w:spacing w:after="0" w:line="480" w:lineRule="auto"/>
        <w:rPr>
          <w:rFonts w:ascii="Arial" w:hAnsi="Arial"/>
          <w:color w:val="000000"/>
          <w:sz w:val="24"/>
        </w:rPr>
      </w:pPr>
      <w:r w:rsidRPr="00C627DF">
        <w:rPr>
          <w:rFonts w:ascii="Arial" w:hAnsi="Arial"/>
          <w:color w:val="000000"/>
          <w:sz w:val="24"/>
          <w:lang w:val="fr-CA"/>
        </w:rPr>
        <w:t xml:space="preserve">                                          </w:t>
      </w:r>
      <w:r>
        <w:rPr>
          <w:rFonts w:ascii="Arial" w:hAnsi="Arial"/>
          <w:color w:val="000000"/>
          <w:sz w:val="24"/>
        </w:rPr>
        <w:t>-------------- // ------------------</w:t>
      </w:r>
    </w:p>
    <w:p w:rsidR="00BD597D" w:rsidRDefault="00BD597D" w:rsidP="00C627DF">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jc w:val="both"/>
        <w:rPr>
          <w:rFonts w:ascii="Arial" w:hAnsi="Arial"/>
          <w:b/>
          <w:sz w:val="18"/>
          <w:szCs w:val="18"/>
        </w:rPr>
      </w:pPr>
    </w:p>
    <w:p w:rsidR="00BD597D" w:rsidRDefault="00BD597D" w:rsidP="00C627DF">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jc w:val="both"/>
        <w:rPr>
          <w:rFonts w:ascii="Arial" w:hAnsi="Arial"/>
          <w:b/>
          <w:sz w:val="18"/>
          <w:szCs w:val="18"/>
        </w:rPr>
      </w:pPr>
    </w:p>
    <w:p w:rsidR="00BD597D" w:rsidRDefault="00BD597D" w:rsidP="00C627DF">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jc w:val="both"/>
        <w:rPr>
          <w:rFonts w:ascii="Arial" w:hAnsi="Arial"/>
          <w:b/>
          <w:sz w:val="18"/>
          <w:szCs w:val="18"/>
        </w:rPr>
      </w:pPr>
    </w:p>
    <w:p w:rsidR="00BD597D" w:rsidRDefault="00BD597D" w:rsidP="00C627DF">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jc w:val="both"/>
        <w:rPr>
          <w:rFonts w:ascii="Arial" w:hAnsi="Arial"/>
          <w:b/>
          <w:sz w:val="18"/>
          <w:szCs w:val="18"/>
        </w:rPr>
      </w:pPr>
    </w:p>
    <w:p w:rsidR="00BD597D" w:rsidRPr="00CC16CC" w:rsidRDefault="00BD597D" w:rsidP="00C627DF">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jc w:val="both"/>
        <w:rPr>
          <w:rFonts w:ascii="Arial" w:hAnsi="Arial"/>
          <w:b/>
          <w:sz w:val="18"/>
          <w:szCs w:val="18"/>
        </w:rPr>
      </w:pPr>
    </w:p>
    <w:p w:rsidR="00C627DF" w:rsidRPr="00C627DF" w:rsidRDefault="00C627DF" w:rsidP="00964112">
      <w:pPr>
        <w:pStyle w:val="Paragraphedeliste"/>
        <w:numPr>
          <w:ilvl w:val="0"/>
          <w:numId w:val="2"/>
        </w:numPr>
        <w:spacing w:before="0" w:after="200" w:line="276" w:lineRule="auto"/>
        <w:contextualSpacing/>
        <w:rPr>
          <w:rFonts w:ascii="Arial" w:hAnsi="Arial"/>
          <w:b/>
          <w:color w:val="000000" w:themeColor="text1"/>
          <w:sz w:val="28"/>
          <w:szCs w:val="28"/>
          <w:u w:val="single"/>
          <w:lang w:val="fr-CA"/>
        </w:rPr>
      </w:pPr>
      <w:r w:rsidRPr="00C627DF">
        <w:rPr>
          <w:rFonts w:ascii="Arial" w:hAnsi="Arial"/>
          <w:b/>
          <w:sz w:val="24"/>
          <w:lang w:val="fr-CA"/>
        </w:rPr>
        <w:t>COÜT TOTAL DE MISE EN ŒUVRE (RAPPORTS D’EXECUTION DES BUDGETS ITIE : Exercices 2018 ; 2019 ; 2020 ; 2021</w:t>
      </w:r>
      <w:r w:rsidRPr="00C627DF">
        <w:rPr>
          <w:rFonts w:ascii="Arial" w:hAnsi="Arial"/>
          <w:color w:val="000000" w:themeColor="text1"/>
          <w:sz w:val="24"/>
          <w:lang w:val="fr-CA"/>
        </w:rPr>
        <w:t>)</w:t>
      </w:r>
    </w:p>
    <w:p w:rsidR="00C627DF" w:rsidRPr="00C627DF" w:rsidRDefault="00C627DF" w:rsidP="00C627DF">
      <w:pPr>
        <w:pStyle w:val="Paragraphedeliste"/>
        <w:rPr>
          <w:rFonts w:ascii="Arial" w:hAnsi="Arial"/>
          <w:b/>
          <w:sz w:val="24"/>
          <w:lang w:val="fr-CA"/>
        </w:rPr>
      </w:pPr>
      <w:r w:rsidRPr="00C627DF">
        <w:rPr>
          <w:rFonts w:ascii="Arial" w:hAnsi="Arial"/>
          <w:b/>
          <w:sz w:val="24"/>
          <w:lang w:val="fr-CA"/>
        </w:rPr>
        <w:t>.</w:t>
      </w:r>
    </w:p>
    <w:p w:rsidR="00C627DF" w:rsidRPr="00C627DF" w:rsidRDefault="00C627DF" w:rsidP="00C627DF">
      <w:pPr>
        <w:jc w:val="both"/>
        <w:rPr>
          <w:rFonts w:ascii="Arial" w:hAnsi="Arial"/>
          <w:sz w:val="24"/>
          <w:lang w:val="fr-CA"/>
        </w:rPr>
      </w:pPr>
      <w:r w:rsidRPr="00C627DF">
        <w:rPr>
          <w:rFonts w:ascii="Arial" w:hAnsi="Arial"/>
          <w:sz w:val="24"/>
          <w:lang w:val="fr-CA"/>
        </w:rPr>
        <w:t>Les ressources de l’ITIE proviennent généralement de la subvention allouée par l’</w:t>
      </w:r>
      <w:r w:rsidR="006C5380" w:rsidRPr="00C627DF">
        <w:rPr>
          <w:rFonts w:ascii="Arial" w:hAnsi="Arial"/>
          <w:sz w:val="24"/>
          <w:lang w:val="fr-CA"/>
        </w:rPr>
        <w:t>État</w:t>
      </w:r>
      <w:r w:rsidRPr="00C627DF">
        <w:rPr>
          <w:rFonts w:ascii="Arial" w:hAnsi="Arial"/>
          <w:sz w:val="24"/>
          <w:lang w:val="fr-CA"/>
        </w:rPr>
        <w:t xml:space="preserve"> chaque année pour assurer son fonctionnement ; de la contribution des Partenaires Intérieurs comme le Ministère du pétrole et de l’</w:t>
      </w:r>
      <w:r w:rsidR="006C5380" w:rsidRPr="00C627DF">
        <w:rPr>
          <w:rFonts w:ascii="Arial" w:hAnsi="Arial"/>
          <w:sz w:val="24"/>
          <w:lang w:val="fr-CA"/>
        </w:rPr>
        <w:t>Énergie</w:t>
      </w:r>
      <w:r w:rsidRPr="00C627DF">
        <w:rPr>
          <w:rFonts w:ascii="Arial" w:hAnsi="Arial"/>
          <w:sz w:val="24"/>
          <w:lang w:val="fr-CA"/>
        </w:rPr>
        <w:t xml:space="preserve">, tutelle de l’ITIE, de la Société des Hydrocarbures du Tchad (SHT) et des Partenaires Extérieurs appelés communément Partenaires Techniques et Financiers au Développement du Tchad entre autres : la  banque mondiale et l’Union Européenne qui interviennent à la demande de l’ITIE pour financer certaines activités éligibles dans leurs programmes. </w:t>
      </w:r>
      <w:r w:rsidRPr="00C627DF">
        <w:rPr>
          <w:rFonts w:ascii="Arial" w:hAnsi="Arial"/>
          <w:sz w:val="24"/>
          <w:lang w:val="fr-CA"/>
        </w:rPr>
        <w:lastRenderedPageBreak/>
        <w:t>Il convient de préciser que la contribution les partenaires intérieurs et extérieures est dans la plus part des cas aléatoire.</w:t>
      </w:r>
    </w:p>
    <w:p w:rsidR="00C627DF" w:rsidRPr="00C627DF" w:rsidRDefault="00C627DF" w:rsidP="00C627DF">
      <w:pPr>
        <w:rPr>
          <w:rFonts w:ascii="Arial" w:hAnsi="Arial"/>
          <w:b/>
          <w:sz w:val="24"/>
          <w:lang w:val="fr-CA"/>
        </w:rPr>
      </w:pPr>
      <w:r w:rsidRPr="00C627DF">
        <w:rPr>
          <w:rFonts w:ascii="Arial" w:hAnsi="Arial"/>
          <w:b/>
          <w:sz w:val="24"/>
          <w:lang w:val="fr-CA"/>
        </w:rPr>
        <w:t>I/ Exécution du budget 2018</w:t>
      </w:r>
    </w:p>
    <w:p w:rsidR="00C627DF" w:rsidRPr="00C627DF" w:rsidRDefault="00C627DF" w:rsidP="00C627DF">
      <w:pPr>
        <w:jc w:val="both"/>
        <w:rPr>
          <w:rFonts w:ascii="Arial" w:hAnsi="Arial"/>
          <w:sz w:val="24"/>
          <w:lang w:val="fr-CA"/>
        </w:rPr>
      </w:pPr>
      <w:r w:rsidRPr="00C627DF">
        <w:rPr>
          <w:rFonts w:ascii="Arial" w:hAnsi="Arial"/>
          <w:sz w:val="24"/>
          <w:lang w:val="fr-CA"/>
        </w:rPr>
        <w:t>Au titre du budget 2018 l’ITIE, malgré la contribution des Partenaires Techniques et Financiers annoncée, l’TIE n’a bénéficié d’aucun financement extérieur. Toutes les dépenses ont été effectuées sur la subvention allouée par l’</w:t>
      </w:r>
      <w:r w:rsidR="006C5380" w:rsidRPr="00C627DF">
        <w:rPr>
          <w:rFonts w:ascii="Arial" w:hAnsi="Arial"/>
          <w:sz w:val="24"/>
          <w:lang w:val="fr-CA"/>
        </w:rPr>
        <w:t>État</w:t>
      </w:r>
      <w:r w:rsidRPr="00C627DF">
        <w:rPr>
          <w:rFonts w:ascii="Arial" w:hAnsi="Arial"/>
          <w:sz w:val="24"/>
          <w:lang w:val="fr-CA"/>
        </w:rPr>
        <w:t>.</w:t>
      </w:r>
    </w:p>
    <w:p w:rsidR="00C627DF" w:rsidRPr="00C627DF" w:rsidRDefault="00C627DF" w:rsidP="00C627DF">
      <w:pPr>
        <w:jc w:val="both"/>
        <w:rPr>
          <w:rFonts w:ascii="Arial" w:hAnsi="Arial"/>
          <w:sz w:val="24"/>
          <w:lang w:val="fr-CA"/>
        </w:rPr>
      </w:pPr>
      <w:r w:rsidRPr="00C627DF">
        <w:rPr>
          <w:rFonts w:ascii="Arial" w:hAnsi="Arial"/>
          <w:sz w:val="24"/>
          <w:lang w:val="fr-CA"/>
        </w:rPr>
        <w:t xml:space="preserve">Le budget ITIE 2018 consolidé (toutes ressources confondues) est arrêté en prévisions à 814 351 915 francs CFA en recettes et en dépenses. </w:t>
      </w:r>
    </w:p>
    <w:p w:rsidR="00C627DF" w:rsidRPr="00C627DF" w:rsidRDefault="00C627DF" w:rsidP="00C627DF">
      <w:pPr>
        <w:jc w:val="both"/>
        <w:rPr>
          <w:rFonts w:ascii="Arial" w:hAnsi="Arial"/>
          <w:b/>
          <w:sz w:val="24"/>
          <w:lang w:val="fr-CA"/>
        </w:rPr>
      </w:pPr>
      <w:r w:rsidRPr="00C627DF">
        <w:rPr>
          <w:rFonts w:ascii="Arial" w:hAnsi="Arial"/>
          <w:b/>
          <w:sz w:val="24"/>
          <w:lang w:val="fr-CA"/>
        </w:rPr>
        <w:t>A/ Au titre des recettes :</w:t>
      </w:r>
    </w:p>
    <w:p w:rsidR="00C627DF" w:rsidRPr="00C627DF" w:rsidRDefault="00C627DF" w:rsidP="00C627DF">
      <w:pPr>
        <w:jc w:val="both"/>
        <w:rPr>
          <w:rFonts w:ascii="Arial" w:hAnsi="Arial"/>
          <w:sz w:val="24"/>
          <w:lang w:val="fr-CA"/>
        </w:rPr>
      </w:pPr>
      <w:r w:rsidRPr="00C627DF">
        <w:rPr>
          <w:rFonts w:ascii="Arial" w:hAnsi="Arial"/>
          <w:sz w:val="24"/>
          <w:lang w:val="fr-CA"/>
        </w:rPr>
        <w:t>La contribution des partenaires intérieurs se présente comme suit :</w:t>
      </w:r>
    </w:p>
    <w:p w:rsidR="00C627DF" w:rsidRDefault="00C627DF" w:rsidP="00964112">
      <w:pPr>
        <w:pStyle w:val="Paragraphedeliste"/>
        <w:numPr>
          <w:ilvl w:val="0"/>
          <w:numId w:val="18"/>
        </w:numPr>
        <w:spacing w:before="0" w:after="160" w:line="259" w:lineRule="auto"/>
        <w:contextualSpacing/>
        <w:jc w:val="both"/>
        <w:rPr>
          <w:rFonts w:ascii="Arial" w:hAnsi="Arial"/>
          <w:sz w:val="24"/>
        </w:rPr>
      </w:pPr>
      <w:r w:rsidRPr="00943FCB">
        <w:rPr>
          <w:rFonts w:ascii="Arial" w:hAnsi="Arial"/>
          <w:sz w:val="24"/>
        </w:rPr>
        <w:t>SHT : 15 800 000 FCFA ;</w:t>
      </w:r>
    </w:p>
    <w:p w:rsidR="00C627DF" w:rsidRPr="00C627DF" w:rsidRDefault="00C627DF" w:rsidP="00964112">
      <w:pPr>
        <w:pStyle w:val="Paragraphedeliste"/>
        <w:numPr>
          <w:ilvl w:val="0"/>
          <w:numId w:val="18"/>
        </w:numPr>
        <w:spacing w:before="0" w:after="160" w:line="259" w:lineRule="auto"/>
        <w:contextualSpacing/>
        <w:jc w:val="both"/>
        <w:rPr>
          <w:rFonts w:ascii="Arial" w:hAnsi="Arial"/>
          <w:sz w:val="24"/>
          <w:lang w:val="fr-CA"/>
        </w:rPr>
      </w:pPr>
      <w:r w:rsidRPr="00C627DF">
        <w:rPr>
          <w:rFonts w:ascii="Arial" w:hAnsi="Arial"/>
          <w:sz w:val="24"/>
          <w:lang w:val="fr-CA"/>
        </w:rPr>
        <w:t>Ministère du Pétrole et de l’</w:t>
      </w:r>
      <w:r w:rsidR="006C5380" w:rsidRPr="00C627DF">
        <w:rPr>
          <w:rFonts w:ascii="Arial" w:hAnsi="Arial"/>
          <w:sz w:val="24"/>
          <w:lang w:val="fr-CA"/>
        </w:rPr>
        <w:t>Énergie</w:t>
      </w:r>
      <w:r w:rsidRPr="00C627DF">
        <w:rPr>
          <w:rFonts w:ascii="Arial" w:hAnsi="Arial"/>
          <w:sz w:val="24"/>
          <w:lang w:val="fr-CA"/>
        </w:rPr>
        <w:t> : 13 240 764 FCFA ;</w:t>
      </w:r>
    </w:p>
    <w:p w:rsidR="00C627DF" w:rsidRPr="00C627DF" w:rsidRDefault="00C627DF" w:rsidP="00964112">
      <w:pPr>
        <w:pStyle w:val="Paragraphedeliste"/>
        <w:numPr>
          <w:ilvl w:val="0"/>
          <w:numId w:val="18"/>
        </w:numPr>
        <w:spacing w:before="0" w:after="160" w:line="259" w:lineRule="auto"/>
        <w:contextualSpacing/>
        <w:jc w:val="both"/>
        <w:rPr>
          <w:rFonts w:ascii="Arial" w:hAnsi="Arial"/>
          <w:sz w:val="24"/>
          <w:lang w:val="fr-CA"/>
        </w:rPr>
      </w:pPr>
      <w:r w:rsidRPr="00C627DF">
        <w:rPr>
          <w:rFonts w:ascii="Arial" w:hAnsi="Arial"/>
          <w:sz w:val="24"/>
          <w:lang w:val="fr-CA"/>
        </w:rPr>
        <w:t>Report du solde positif de l’année antérieure : 1 915 465 FCFA</w:t>
      </w:r>
    </w:p>
    <w:p w:rsidR="00C627DF" w:rsidRPr="00C627DF" w:rsidRDefault="00C627DF" w:rsidP="00964112">
      <w:pPr>
        <w:pStyle w:val="Paragraphedeliste"/>
        <w:numPr>
          <w:ilvl w:val="0"/>
          <w:numId w:val="18"/>
        </w:numPr>
        <w:spacing w:before="0" w:after="160" w:line="259" w:lineRule="auto"/>
        <w:contextualSpacing/>
        <w:jc w:val="both"/>
        <w:rPr>
          <w:rFonts w:ascii="Arial" w:hAnsi="Arial"/>
          <w:sz w:val="24"/>
          <w:lang w:val="fr-CA"/>
        </w:rPr>
      </w:pPr>
      <w:r w:rsidRPr="00C627DF">
        <w:rPr>
          <w:rFonts w:ascii="Arial" w:hAnsi="Arial"/>
          <w:sz w:val="24"/>
          <w:lang w:val="fr-CA"/>
        </w:rPr>
        <w:t xml:space="preserve">Subvention </w:t>
      </w:r>
      <w:r w:rsidR="006C5380" w:rsidRPr="00C627DF">
        <w:rPr>
          <w:rFonts w:ascii="Arial" w:hAnsi="Arial"/>
          <w:sz w:val="24"/>
          <w:lang w:val="fr-CA"/>
        </w:rPr>
        <w:t>État</w:t>
      </w:r>
      <w:r w:rsidRPr="00C627DF">
        <w:rPr>
          <w:rFonts w:ascii="Arial" w:hAnsi="Arial"/>
          <w:sz w:val="24"/>
          <w:lang w:val="fr-CA"/>
        </w:rPr>
        <w:t> : Virement reçu du Trésor Public : 275 094 400 FCFA. Soit un total de : 306 050 629 FCFA.au titre de recettes. Ce qui représente un taux de réalisation de 37,5% par rapport aux prévisions.</w:t>
      </w:r>
    </w:p>
    <w:p w:rsidR="00C627DF" w:rsidRPr="00C627DF" w:rsidRDefault="00C627DF" w:rsidP="00C627DF">
      <w:pPr>
        <w:jc w:val="both"/>
        <w:rPr>
          <w:rFonts w:ascii="Arial" w:hAnsi="Arial"/>
          <w:b/>
          <w:sz w:val="24"/>
          <w:lang w:val="fr-CA"/>
        </w:rPr>
      </w:pPr>
      <w:r w:rsidRPr="00C627DF">
        <w:rPr>
          <w:rFonts w:ascii="Arial" w:hAnsi="Arial"/>
          <w:b/>
          <w:sz w:val="24"/>
          <w:lang w:val="fr-CA"/>
        </w:rPr>
        <w:t>B/ Au titre des dépenses :</w:t>
      </w:r>
    </w:p>
    <w:p w:rsidR="00C627DF" w:rsidRPr="00C627DF" w:rsidRDefault="00C627DF" w:rsidP="00C627DF">
      <w:pPr>
        <w:jc w:val="both"/>
        <w:rPr>
          <w:rFonts w:ascii="Arial" w:hAnsi="Arial"/>
          <w:sz w:val="24"/>
          <w:lang w:val="fr-CA"/>
        </w:rPr>
      </w:pPr>
      <w:r w:rsidRPr="00C627DF">
        <w:rPr>
          <w:rFonts w:ascii="Arial" w:hAnsi="Arial"/>
          <w:sz w:val="24"/>
          <w:lang w:val="fr-CA"/>
        </w:rPr>
        <w:t>Les dépenses Toutes rubriques confondues s’élèvent à 279 940 516 FCFA et se décomposent comme suit :</w:t>
      </w:r>
    </w:p>
    <w:p w:rsidR="00C627DF" w:rsidRDefault="00C627DF" w:rsidP="00964112">
      <w:pPr>
        <w:pStyle w:val="Paragraphedeliste"/>
        <w:numPr>
          <w:ilvl w:val="0"/>
          <w:numId w:val="18"/>
        </w:numPr>
        <w:spacing w:before="0" w:after="160" w:line="259" w:lineRule="auto"/>
        <w:contextualSpacing/>
        <w:jc w:val="both"/>
        <w:rPr>
          <w:rFonts w:ascii="Arial" w:hAnsi="Arial"/>
          <w:sz w:val="24"/>
        </w:rPr>
      </w:pPr>
      <w:proofErr w:type="spellStart"/>
      <w:r w:rsidRPr="00DF2E3A">
        <w:rPr>
          <w:rFonts w:ascii="Arial" w:hAnsi="Arial"/>
          <w:sz w:val="24"/>
        </w:rPr>
        <w:t>Dépenses</w:t>
      </w:r>
      <w:proofErr w:type="spellEnd"/>
      <w:r w:rsidRPr="00DF2E3A">
        <w:rPr>
          <w:rFonts w:ascii="Arial" w:hAnsi="Arial"/>
          <w:sz w:val="24"/>
        </w:rPr>
        <w:t xml:space="preserve"> du personnel</w:t>
      </w:r>
      <w:r>
        <w:rPr>
          <w:rFonts w:ascii="Arial" w:hAnsi="Arial"/>
          <w:sz w:val="24"/>
        </w:rPr>
        <w:t xml:space="preserve"> : </w:t>
      </w:r>
      <w:r w:rsidRPr="00DF2E3A">
        <w:rPr>
          <w:rFonts w:ascii="Arial" w:hAnsi="Arial"/>
          <w:sz w:val="24"/>
        </w:rPr>
        <w:t>77 720 490 FCFA</w:t>
      </w:r>
      <w:r>
        <w:rPr>
          <w:rFonts w:ascii="Arial" w:hAnsi="Arial"/>
          <w:sz w:val="24"/>
        </w:rPr>
        <w:t> ;</w:t>
      </w:r>
    </w:p>
    <w:p w:rsidR="00C627DF" w:rsidRPr="00C627DF" w:rsidRDefault="00C627DF" w:rsidP="00964112">
      <w:pPr>
        <w:pStyle w:val="Paragraphedeliste"/>
        <w:numPr>
          <w:ilvl w:val="0"/>
          <w:numId w:val="18"/>
        </w:numPr>
        <w:spacing w:before="0" w:after="160" w:line="259" w:lineRule="auto"/>
        <w:contextualSpacing/>
        <w:jc w:val="both"/>
        <w:rPr>
          <w:rFonts w:ascii="Arial" w:hAnsi="Arial"/>
          <w:sz w:val="24"/>
          <w:lang w:val="fr-CA"/>
        </w:rPr>
      </w:pPr>
      <w:r w:rsidRPr="00C627DF">
        <w:rPr>
          <w:rFonts w:ascii="Arial" w:hAnsi="Arial"/>
          <w:sz w:val="24"/>
          <w:lang w:val="fr-CA"/>
        </w:rPr>
        <w:t>Dépenses des biens services : 27 633 428 FCFA ;</w:t>
      </w:r>
    </w:p>
    <w:p w:rsidR="00C627DF" w:rsidRDefault="00C627DF" w:rsidP="00964112">
      <w:pPr>
        <w:pStyle w:val="Paragraphedeliste"/>
        <w:numPr>
          <w:ilvl w:val="0"/>
          <w:numId w:val="18"/>
        </w:numPr>
        <w:spacing w:before="0" w:after="160" w:line="259" w:lineRule="auto"/>
        <w:contextualSpacing/>
        <w:jc w:val="both"/>
        <w:rPr>
          <w:rFonts w:ascii="Arial" w:hAnsi="Arial"/>
          <w:sz w:val="24"/>
        </w:rPr>
      </w:pPr>
      <w:proofErr w:type="spellStart"/>
      <w:r>
        <w:rPr>
          <w:rFonts w:ascii="Arial" w:hAnsi="Arial"/>
          <w:sz w:val="24"/>
        </w:rPr>
        <w:t>Dépenses</w:t>
      </w:r>
      <w:proofErr w:type="spellEnd"/>
      <w:r>
        <w:rPr>
          <w:rFonts w:ascii="Arial" w:hAnsi="Arial"/>
          <w:sz w:val="24"/>
        </w:rPr>
        <w:t xml:space="preserve"> des </w:t>
      </w:r>
      <w:proofErr w:type="spellStart"/>
      <w:r>
        <w:rPr>
          <w:rFonts w:ascii="Arial" w:hAnsi="Arial"/>
          <w:sz w:val="24"/>
        </w:rPr>
        <w:t>matériels</w:t>
      </w:r>
      <w:proofErr w:type="spellEnd"/>
      <w:r>
        <w:rPr>
          <w:rFonts w:ascii="Arial" w:hAnsi="Arial"/>
          <w:sz w:val="24"/>
        </w:rPr>
        <w:t> : 38 218 610 FCFA ;</w:t>
      </w:r>
    </w:p>
    <w:p w:rsidR="00C627DF" w:rsidRPr="00C627DF" w:rsidRDefault="00C627DF" w:rsidP="00964112">
      <w:pPr>
        <w:pStyle w:val="Paragraphedeliste"/>
        <w:numPr>
          <w:ilvl w:val="0"/>
          <w:numId w:val="18"/>
        </w:numPr>
        <w:spacing w:before="0" w:after="160" w:line="259" w:lineRule="auto"/>
        <w:contextualSpacing/>
        <w:jc w:val="both"/>
        <w:rPr>
          <w:rFonts w:ascii="Arial" w:hAnsi="Arial"/>
          <w:sz w:val="24"/>
          <w:lang w:val="fr-CA"/>
        </w:rPr>
      </w:pPr>
      <w:r w:rsidRPr="00C627DF">
        <w:rPr>
          <w:rFonts w:ascii="Arial" w:hAnsi="Arial"/>
          <w:sz w:val="24"/>
          <w:lang w:val="fr-CA"/>
        </w:rPr>
        <w:t>Revue, Coordination du HCN : 3 916 000 FCFA ;</w:t>
      </w:r>
    </w:p>
    <w:p w:rsidR="00C627DF" w:rsidRDefault="00C627DF" w:rsidP="00964112">
      <w:pPr>
        <w:pStyle w:val="Paragraphedeliste"/>
        <w:numPr>
          <w:ilvl w:val="0"/>
          <w:numId w:val="18"/>
        </w:numPr>
        <w:spacing w:before="0" w:after="160" w:line="259" w:lineRule="auto"/>
        <w:contextualSpacing/>
        <w:jc w:val="both"/>
        <w:rPr>
          <w:rFonts w:ascii="Arial" w:hAnsi="Arial"/>
          <w:sz w:val="24"/>
        </w:rPr>
      </w:pPr>
      <w:proofErr w:type="spellStart"/>
      <w:r>
        <w:rPr>
          <w:rFonts w:ascii="Arial" w:hAnsi="Arial"/>
          <w:sz w:val="24"/>
        </w:rPr>
        <w:t>Dettes</w:t>
      </w:r>
      <w:proofErr w:type="spellEnd"/>
      <w:r>
        <w:rPr>
          <w:rFonts w:ascii="Arial" w:hAnsi="Arial"/>
          <w:sz w:val="24"/>
        </w:rPr>
        <w:t xml:space="preserve"> </w:t>
      </w:r>
      <w:proofErr w:type="spellStart"/>
      <w:proofErr w:type="gramStart"/>
      <w:r>
        <w:rPr>
          <w:rFonts w:ascii="Arial" w:hAnsi="Arial"/>
          <w:sz w:val="24"/>
        </w:rPr>
        <w:t>d’exploitation</w:t>
      </w:r>
      <w:proofErr w:type="spellEnd"/>
      <w:r>
        <w:rPr>
          <w:rFonts w:ascii="Arial" w:hAnsi="Arial"/>
          <w:sz w:val="24"/>
        </w:rPr>
        <w:t> :</w:t>
      </w:r>
      <w:proofErr w:type="gramEnd"/>
      <w:r>
        <w:rPr>
          <w:rFonts w:ascii="Arial" w:hAnsi="Arial"/>
          <w:sz w:val="24"/>
        </w:rPr>
        <w:t xml:space="preserve"> 132 451 988 FCFA. </w:t>
      </w:r>
    </w:p>
    <w:p w:rsidR="00C627DF" w:rsidRPr="00C627DF" w:rsidRDefault="00C627DF" w:rsidP="00C627DF">
      <w:pPr>
        <w:jc w:val="both"/>
        <w:rPr>
          <w:rFonts w:ascii="Arial" w:hAnsi="Arial"/>
          <w:sz w:val="24"/>
          <w:lang w:val="fr-CA"/>
        </w:rPr>
      </w:pPr>
      <w:r w:rsidRPr="00C627DF">
        <w:rPr>
          <w:rFonts w:ascii="Arial" w:hAnsi="Arial"/>
          <w:sz w:val="24"/>
          <w:lang w:val="fr-CA"/>
        </w:rPr>
        <w:t>Soit un total de : 279 940 516 FCFA correspondant à un taux d’exécution de 34% par rapport à la prévision et 91% par rapport au recouvrement/recettes.</w:t>
      </w:r>
    </w:p>
    <w:p w:rsidR="00C627DF" w:rsidRPr="00C627DF" w:rsidRDefault="00C627DF" w:rsidP="00C627DF">
      <w:pPr>
        <w:rPr>
          <w:rFonts w:ascii="Arial" w:hAnsi="Arial"/>
          <w:b/>
          <w:sz w:val="24"/>
          <w:lang w:val="fr-CA"/>
        </w:rPr>
      </w:pPr>
      <w:r w:rsidRPr="00C627DF">
        <w:rPr>
          <w:rFonts w:ascii="Arial" w:hAnsi="Arial"/>
          <w:b/>
          <w:sz w:val="24"/>
          <w:lang w:val="fr-CA"/>
        </w:rPr>
        <w:t>II/ Exécution du budget ITIE 2019</w:t>
      </w:r>
    </w:p>
    <w:p w:rsidR="00C627DF" w:rsidRPr="00C627DF" w:rsidRDefault="00C627DF" w:rsidP="00C627DF">
      <w:pPr>
        <w:jc w:val="both"/>
        <w:rPr>
          <w:rFonts w:ascii="Arial" w:hAnsi="Arial"/>
          <w:sz w:val="24"/>
          <w:lang w:val="fr-CA"/>
        </w:rPr>
      </w:pPr>
      <w:r w:rsidRPr="00C627DF">
        <w:rPr>
          <w:rFonts w:ascii="Arial" w:hAnsi="Arial"/>
          <w:sz w:val="24"/>
          <w:lang w:val="fr-CA"/>
        </w:rPr>
        <w:t>Le budget ITIE 2019 est arrêté en recettes à 461 577 193 FCFA ; et en dépenses également à 461 577 193 FCFA. C’est un budget équilibré.</w:t>
      </w:r>
    </w:p>
    <w:p w:rsidR="00C627DF" w:rsidRPr="00C627DF" w:rsidRDefault="00C627DF" w:rsidP="00C627DF">
      <w:pPr>
        <w:jc w:val="both"/>
        <w:rPr>
          <w:rFonts w:ascii="Arial" w:hAnsi="Arial"/>
          <w:sz w:val="24"/>
          <w:lang w:val="fr-CA"/>
        </w:rPr>
      </w:pPr>
      <w:r w:rsidRPr="00C627DF">
        <w:rPr>
          <w:rFonts w:ascii="Arial" w:hAnsi="Arial"/>
          <w:sz w:val="24"/>
          <w:lang w:val="fr-CA"/>
        </w:rPr>
        <w:t>Il convient de préciser qu’au titre de l’année 2019 ; les ressources de l’ITIE proviennent uniquement de l’</w:t>
      </w:r>
      <w:r w:rsidR="006C5380" w:rsidRPr="00C627DF">
        <w:rPr>
          <w:rFonts w:ascii="Arial" w:hAnsi="Arial"/>
          <w:sz w:val="24"/>
          <w:lang w:val="fr-CA"/>
        </w:rPr>
        <w:t>État</w:t>
      </w:r>
      <w:r w:rsidRPr="00C627DF">
        <w:rPr>
          <w:rFonts w:ascii="Arial" w:hAnsi="Arial"/>
          <w:sz w:val="24"/>
          <w:lang w:val="fr-CA"/>
        </w:rPr>
        <w:t xml:space="preserve">. Aucun partenaire ne s’est prononcé pour financer ne serait-ce qu’une activité. Ainsi, le budget ITIE 2019 est élaboré sur </w:t>
      </w:r>
      <w:proofErr w:type="gramStart"/>
      <w:r w:rsidRPr="00C627DF">
        <w:rPr>
          <w:rFonts w:ascii="Arial" w:hAnsi="Arial"/>
          <w:sz w:val="24"/>
          <w:lang w:val="fr-CA"/>
        </w:rPr>
        <w:t>la  base</w:t>
      </w:r>
      <w:proofErr w:type="gramEnd"/>
      <w:r w:rsidRPr="00C627DF">
        <w:rPr>
          <w:rFonts w:ascii="Arial" w:hAnsi="Arial"/>
          <w:sz w:val="24"/>
          <w:lang w:val="fr-CA"/>
        </w:rPr>
        <w:t xml:space="preserve"> de la subvention accordée par l’</w:t>
      </w:r>
      <w:r w:rsidR="006C5380" w:rsidRPr="00C627DF">
        <w:rPr>
          <w:rFonts w:ascii="Arial" w:hAnsi="Arial"/>
          <w:sz w:val="24"/>
          <w:lang w:val="fr-CA"/>
        </w:rPr>
        <w:t>État</w:t>
      </w:r>
      <w:r w:rsidRPr="00C627DF">
        <w:rPr>
          <w:rFonts w:ascii="Arial" w:hAnsi="Arial"/>
          <w:sz w:val="24"/>
          <w:lang w:val="fr-CA"/>
        </w:rPr>
        <w:t>.</w:t>
      </w:r>
    </w:p>
    <w:p w:rsidR="00C627DF" w:rsidRPr="00C627DF" w:rsidRDefault="00C627DF" w:rsidP="00C627DF">
      <w:pPr>
        <w:rPr>
          <w:rFonts w:ascii="Arial" w:hAnsi="Arial"/>
          <w:b/>
          <w:sz w:val="24"/>
          <w:lang w:val="fr-CA"/>
        </w:rPr>
      </w:pPr>
      <w:r w:rsidRPr="00C627DF">
        <w:rPr>
          <w:rFonts w:ascii="Arial" w:hAnsi="Arial"/>
          <w:b/>
          <w:sz w:val="24"/>
          <w:lang w:val="fr-CA"/>
        </w:rPr>
        <w:t>A/ Au titre des recettes :</w:t>
      </w:r>
    </w:p>
    <w:p w:rsidR="00C627DF" w:rsidRPr="00C627DF" w:rsidRDefault="00C627DF" w:rsidP="00C627DF">
      <w:pPr>
        <w:jc w:val="both"/>
        <w:rPr>
          <w:rFonts w:ascii="Arial" w:hAnsi="Arial"/>
          <w:sz w:val="24"/>
          <w:lang w:val="fr-CA"/>
        </w:rPr>
      </w:pPr>
      <w:r w:rsidRPr="00C627DF">
        <w:rPr>
          <w:rFonts w:ascii="Arial" w:hAnsi="Arial"/>
          <w:sz w:val="24"/>
          <w:lang w:val="fr-CA"/>
        </w:rPr>
        <w:lastRenderedPageBreak/>
        <w:t xml:space="preserve">Le montant de subvention versée à l’ITIE au cours de l’année 2019 pour son fonctionnement s’élève à 252 348 275 FCFA. Cette somme représente 55% du montant des prévisions. </w:t>
      </w:r>
    </w:p>
    <w:p w:rsidR="00C627DF" w:rsidRPr="00C627DF" w:rsidRDefault="00C627DF" w:rsidP="00C627DF">
      <w:pPr>
        <w:rPr>
          <w:rFonts w:ascii="Arial" w:hAnsi="Arial"/>
          <w:b/>
          <w:sz w:val="24"/>
          <w:lang w:val="fr-CA"/>
        </w:rPr>
      </w:pPr>
      <w:r w:rsidRPr="00C627DF">
        <w:rPr>
          <w:rFonts w:ascii="Arial" w:hAnsi="Arial"/>
          <w:b/>
          <w:sz w:val="24"/>
          <w:lang w:val="fr-CA"/>
        </w:rPr>
        <w:t>B/ Au titre des dépenses :</w:t>
      </w:r>
    </w:p>
    <w:p w:rsidR="00C627DF" w:rsidRPr="00C627DF" w:rsidRDefault="00C627DF" w:rsidP="00C627DF">
      <w:pPr>
        <w:jc w:val="both"/>
        <w:rPr>
          <w:rFonts w:ascii="Arial" w:hAnsi="Arial"/>
          <w:sz w:val="24"/>
          <w:lang w:val="fr-CA"/>
        </w:rPr>
      </w:pPr>
      <w:r w:rsidRPr="00C627DF">
        <w:rPr>
          <w:rFonts w:ascii="Arial" w:hAnsi="Arial"/>
          <w:sz w:val="24"/>
          <w:lang w:val="fr-CA"/>
        </w:rPr>
        <w:t>Les dépenses toutes rubriques confondues se chiffrent à 229 163 199 FCFA et se décomposent comme suit :</w:t>
      </w:r>
    </w:p>
    <w:p w:rsidR="00C627DF" w:rsidRPr="00C627DF" w:rsidRDefault="00C627DF" w:rsidP="00C627DF">
      <w:pPr>
        <w:jc w:val="both"/>
        <w:rPr>
          <w:rFonts w:ascii="Arial" w:hAnsi="Arial"/>
          <w:sz w:val="24"/>
          <w:lang w:val="fr-CA"/>
        </w:rPr>
      </w:pPr>
      <w:r w:rsidRPr="00C627DF">
        <w:rPr>
          <w:rFonts w:ascii="Arial" w:hAnsi="Arial"/>
          <w:sz w:val="24"/>
          <w:lang w:val="fr-CA"/>
        </w:rPr>
        <w:t>Les dépenses du personnel pour un montant de 76 818 750 FCFA ; les dépenses de services 46 458 781 FCFA ;  les dépenses des biens matériels 28 952 082 FCFA ; revue coordination du HCN  19 035 000 FCFA ; ; les dépenses d’investissements 15 012 900 FCFA ont permis d’acheter trois (03) motos et une voiture Corolla au personnel; enfin ; les dettes des prestataires payées  pour 42 885 686 FCFA.</w:t>
      </w:r>
    </w:p>
    <w:p w:rsidR="00C627DF" w:rsidRPr="00C627DF" w:rsidRDefault="00C627DF" w:rsidP="00C627DF">
      <w:pPr>
        <w:jc w:val="both"/>
        <w:rPr>
          <w:rFonts w:ascii="Arial" w:hAnsi="Arial"/>
          <w:sz w:val="24"/>
          <w:lang w:val="fr-CA"/>
        </w:rPr>
      </w:pPr>
      <w:r w:rsidRPr="00C627DF">
        <w:rPr>
          <w:rFonts w:ascii="Arial" w:hAnsi="Arial"/>
          <w:sz w:val="24"/>
          <w:lang w:val="fr-CA"/>
        </w:rPr>
        <w:t xml:space="preserve">De ce qui précède un se dégage un taux d’exécution de 54% par rapport aux prévisions et un taux de 91% par rapport au recouvrement/ ce que le trésor a </w:t>
      </w:r>
      <w:proofErr w:type="gramStart"/>
      <w:r w:rsidRPr="00C627DF">
        <w:rPr>
          <w:rFonts w:ascii="Arial" w:hAnsi="Arial"/>
          <w:sz w:val="24"/>
          <w:lang w:val="fr-CA"/>
        </w:rPr>
        <w:t>viré  au</w:t>
      </w:r>
      <w:proofErr w:type="gramEnd"/>
      <w:r w:rsidRPr="00C627DF">
        <w:rPr>
          <w:rFonts w:ascii="Arial" w:hAnsi="Arial"/>
          <w:sz w:val="24"/>
          <w:lang w:val="fr-CA"/>
        </w:rPr>
        <w:t xml:space="preserve"> compte de l’ITIE au cours de cette année 2019.</w:t>
      </w:r>
    </w:p>
    <w:p w:rsidR="00C627DF" w:rsidRPr="00C627DF" w:rsidRDefault="00C627DF" w:rsidP="00C627DF">
      <w:pPr>
        <w:rPr>
          <w:rFonts w:ascii="Arial" w:hAnsi="Arial"/>
          <w:b/>
          <w:sz w:val="24"/>
          <w:lang w:val="fr-CA"/>
        </w:rPr>
      </w:pPr>
    </w:p>
    <w:p w:rsidR="00C627DF" w:rsidRPr="00C627DF" w:rsidRDefault="00C627DF" w:rsidP="00C627DF">
      <w:pPr>
        <w:rPr>
          <w:rFonts w:ascii="Arial" w:hAnsi="Arial"/>
          <w:b/>
          <w:sz w:val="24"/>
          <w:lang w:val="fr-CA"/>
        </w:rPr>
      </w:pPr>
      <w:r w:rsidRPr="00C627DF">
        <w:rPr>
          <w:rFonts w:ascii="Arial" w:hAnsi="Arial"/>
          <w:b/>
          <w:sz w:val="24"/>
          <w:lang w:val="fr-CA"/>
        </w:rPr>
        <w:t>III/ Exécution du budget ITIE 2020</w:t>
      </w:r>
    </w:p>
    <w:p w:rsidR="00C627DF" w:rsidRPr="00C627DF" w:rsidRDefault="00C627DF" w:rsidP="00C627DF">
      <w:pPr>
        <w:jc w:val="both"/>
        <w:rPr>
          <w:rFonts w:ascii="Arial" w:hAnsi="Arial"/>
          <w:sz w:val="24"/>
          <w:lang w:val="fr-CA"/>
        </w:rPr>
      </w:pPr>
      <w:r w:rsidRPr="00C627DF">
        <w:rPr>
          <w:rFonts w:ascii="Arial" w:hAnsi="Arial"/>
          <w:sz w:val="24"/>
          <w:lang w:val="fr-CA"/>
        </w:rPr>
        <w:t>Le budget ITIE 2020 est arrêté en prévisions :</w:t>
      </w:r>
    </w:p>
    <w:p w:rsidR="00C627DF" w:rsidRDefault="00C627DF" w:rsidP="00964112">
      <w:pPr>
        <w:pStyle w:val="Paragraphedeliste"/>
        <w:numPr>
          <w:ilvl w:val="0"/>
          <w:numId w:val="18"/>
        </w:numPr>
        <w:spacing w:before="0" w:after="160" w:line="259" w:lineRule="auto"/>
        <w:contextualSpacing/>
        <w:jc w:val="both"/>
        <w:rPr>
          <w:rFonts w:ascii="Arial" w:hAnsi="Arial"/>
          <w:sz w:val="24"/>
        </w:rPr>
      </w:pPr>
      <w:r w:rsidRPr="00C627DF">
        <w:rPr>
          <w:rFonts w:ascii="Arial" w:hAnsi="Arial"/>
          <w:sz w:val="24"/>
          <w:lang w:val="fr-CA"/>
        </w:rPr>
        <w:t xml:space="preserve">  </w:t>
      </w:r>
      <w:r w:rsidRPr="000540DD">
        <w:rPr>
          <w:rFonts w:ascii="Arial" w:hAnsi="Arial"/>
          <w:sz w:val="24"/>
        </w:rPr>
        <w:t xml:space="preserve">en </w:t>
      </w:r>
      <w:proofErr w:type="spellStart"/>
      <w:r w:rsidRPr="000540DD">
        <w:rPr>
          <w:rFonts w:ascii="Arial" w:hAnsi="Arial"/>
          <w:sz w:val="24"/>
        </w:rPr>
        <w:t>recettes</w:t>
      </w:r>
      <w:proofErr w:type="spellEnd"/>
      <w:r w:rsidRPr="000540DD">
        <w:rPr>
          <w:rFonts w:ascii="Arial" w:hAnsi="Arial"/>
          <w:sz w:val="24"/>
        </w:rPr>
        <w:t xml:space="preserve"> </w:t>
      </w:r>
      <w:r>
        <w:rPr>
          <w:rFonts w:ascii="Arial" w:hAnsi="Arial"/>
          <w:sz w:val="24"/>
        </w:rPr>
        <w:t xml:space="preserve">à : </w:t>
      </w:r>
      <w:r w:rsidRPr="000540DD">
        <w:rPr>
          <w:rFonts w:ascii="Arial" w:hAnsi="Arial"/>
          <w:sz w:val="24"/>
        </w:rPr>
        <w:t>73</w:t>
      </w:r>
      <w:r>
        <w:rPr>
          <w:rFonts w:ascii="Arial" w:hAnsi="Arial"/>
          <w:sz w:val="24"/>
        </w:rPr>
        <w:t>7</w:t>
      </w:r>
      <w:r w:rsidRPr="000540DD">
        <w:rPr>
          <w:rFonts w:ascii="Arial" w:hAnsi="Arial"/>
          <w:sz w:val="24"/>
        </w:rPr>
        <w:t> 916 068 FCFA</w:t>
      </w:r>
      <w:r>
        <w:rPr>
          <w:rFonts w:ascii="Arial" w:hAnsi="Arial"/>
          <w:sz w:val="24"/>
        </w:rPr>
        <w:t> ;</w:t>
      </w:r>
    </w:p>
    <w:p w:rsidR="00C627DF" w:rsidRPr="00C627DF" w:rsidRDefault="00C627DF" w:rsidP="00964112">
      <w:pPr>
        <w:pStyle w:val="Paragraphedeliste"/>
        <w:numPr>
          <w:ilvl w:val="0"/>
          <w:numId w:val="18"/>
        </w:numPr>
        <w:spacing w:before="0" w:after="160" w:line="259" w:lineRule="auto"/>
        <w:contextualSpacing/>
        <w:jc w:val="both"/>
        <w:rPr>
          <w:rFonts w:ascii="Arial" w:hAnsi="Arial"/>
          <w:sz w:val="24"/>
          <w:lang w:val="fr-CA"/>
        </w:rPr>
      </w:pPr>
      <w:r w:rsidRPr="00C627DF">
        <w:rPr>
          <w:rFonts w:ascii="Arial" w:hAnsi="Arial"/>
          <w:sz w:val="24"/>
          <w:lang w:val="fr-CA"/>
        </w:rPr>
        <w:t xml:space="preserve"> en dépenses à 737 916 068 FCFA et se décompose comme suit :</w:t>
      </w:r>
    </w:p>
    <w:p w:rsidR="00C627DF" w:rsidRPr="00C627DF" w:rsidRDefault="00C627DF" w:rsidP="00C627DF">
      <w:pPr>
        <w:ind w:firstLine="708"/>
        <w:jc w:val="both"/>
        <w:rPr>
          <w:rFonts w:ascii="Arial" w:hAnsi="Arial"/>
          <w:sz w:val="24"/>
          <w:lang w:val="fr-CA"/>
        </w:rPr>
      </w:pPr>
      <w:r w:rsidRPr="00C627DF">
        <w:rPr>
          <w:rFonts w:ascii="Arial" w:hAnsi="Arial"/>
          <w:b/>
          <w:sz w:val="24"/>
          <w:lang w:val="fr-CA"/>
        </w:rPr>
        <w:t xml:space="preserve">A/ Subvention </w:t>
      </w:r>
      <w:r w:rsidR="006C5380" w:rsidRPr="00C627DF">
        <w:rPr>
          <w:rFonts w:ascii="Arial" w:hAnsi="Arial"/>
          <w:b/>
          <w:sz w:val="24"/>
          <w:lang w:val="fr-CA"/>
        </w:rPr>
        <w:t>État</w:t>
      </w:r>
      <w:r w:rsidRPr="00C627DF">
        <w:rPr>
          <w:rFonts w:ascii="Arial" w:hAnsi="Arial"/>
          <w:sz w:val="24"/>
          <w:lang w:val="fr-CA"/>
        </w:rPr>
        <w:t> : 400 166 173 FCFA ;</w:t>
      </w:r>
    </w:p>
    <w:p w:rsidR="00C627DF" w:rsidRPr="00C627DF" w:rsidRDefault="00C627DF" w:rsidP="00C627DF">
      <w:pPr>
        <w:ind w:firstLine="708"/>
        <w:jc w:val="both"/>
        <w:rPr>
          <w:rFonts w:ascii="Arial" w:hAnsi="Arial"/>
          <w:b/>
          <w:sz w:val="24"/>
          <w:lang w:val="fr-CA"/>
        </w:rPr>
      </w:pPr>
      <w:r w:rsidRPr="00C627DF">
        <w:rPr>
          <w:rFonts w:ascii="Arial" w:hAnsi="Arial"/>
          <w:b/>
          <w:sz w:val="24"/>
          <w:lang w:val="fr-CA"/>
        </w:rPr>
        <w:t>B/ Subvention des Partenaires Techniques et Financiers au Développement :</w:t>
      </w:r>
    </w:p>
    <w:p w:rsidR="00C627DF" w:rsidRPr="00C627DF" w:rsidRDefault="00C627DF" w:rsidP="00C627DF">
      <w:pPr>
        <w:jc w:val="both"/>
        <w:rPr>
          <w:rFonts w:ascii="Arial" w:hAnsi="Arial"/>
          <w:sz w:val="24"/>
          <w:lang w:val="fr-CA"/>
        </w:rPr>
      </w:pPr>
      <w:r w:rsidRPr="00C627DF">
        <w:rPr>
          <w:rFonts w:ascii="Arial" w:hAnsi="Arial"/>
          <w:sz w:val="24"/>
          <w:lang w:val="fr-CA"/>
        </w:rPr>
        <w:t xml:space="preserve">L’Union Européenne et la Banque Mondiale ont annoncé leur contribution à 337 749 895 FCFA dont : </w:t>
      </w:r>
    </w:p>
    <w:p w:rsidR="00C627DF" w:rsidRPr="00C627DF" w:rsidRDefault="00C627DF" w:rsidP="00C627DF">
      <w:pPr>
        <w:pStyle w:val="Paragraphedeliste"/>
        <w:ind w:left="1080"/>
        <w:jc w:val="both"/>
        <w:rPr>
          <w:rFonts w:ascii="Arial" w:hAnsi="Arial"/>
          <w:sz w:val="24"/>
          <w:lang w:val="fr-CA"/>
        </w:rPr>
      </w:pPr>
    </w:p>
    <w:p w:rsidR="00C627DF" w:rsidRPr="00797E0A" w:rsidRDefault="00C627DF" w:rsidP="00964112">
      <w:pPr>
        <w:pStyle w:val="Paragraphedeliste"/>
        <w:numPr>
          <w:ilvl w:val="0"/>
          <w:numId w:val="19"/>
        </w:numPr>
        <w:spacing w:before="0" w:after="160" w:line="259" w:lineRule="auto"/>
        <w:contextualSpacing/>
        <w:jc w:val="both"/>
        <w:rPr>
          <w:rFonts w:ascii="Arial" w:hAnsi="Arial"/>
          <w:sz w:val="24"/>
        </w:rPr>
      </w:pPr>
      <w:r w:rsidRPr="000540DD">
        <w:rPr>
          <w:rFonts w:ascii="Arial" w:hAnsi="Arial"/>
          <w:sz w:val="24"/>
        </w:rPr>
        <w:t xml:space="preserve">Union </w:t>
      </w:r>
      <w:proofErr w:type="spellStart"/>
      <w:r>
        <w:rPr>
          <w:rFonts w:ascii="Arial" w:hAnsi="Arial"/>
          <w:sz w:val="24"/>
        </w:rPr>
        <w:t>Européenne</w:t>
      </w:r>
      <w:proofErr w:type="spellEnd"/>
      <w:r>
        <w:rPr>
          <w:rFonts w:ascii="Arial" w:hAnsi="Arial"/>
          <w:sz w:val="24"/>
        </w:rPr>
        <w:t> : 162 749 895 FCFA </w:t>
      </w:r>
    </w:p>
    <w:p w:rsidR="00C627DF" w:rsidRDefault="00C627DF" w:rsidP="00964112">
      <w:pPr>
        <w:pStyle w:val="Paragraphedeliste"/>
        <w:numPr>
          <w:ilvl w:val="0"/>
          <w:numId w:val="19"/>
        </w:numPr>
        <w:spacing w:before="0" w:after="160" w:line="259" w:lineRule="auto"/>
        <w:contextualSpacing/>
        <w:jc w:val="both"/>
        <w:rPr>
          <w:rFonts w:ascii="Arial" w:hAnsi="Arial"/>
          <w:sz w:val="24"/>
        </w:rPr>
      </w:pPr>
      <w:proofErr w:type="spellStart"/>
      <w:r>
        <w:rPr>
          <w:rFonts w:ascii="Arial" w:hAnsi="Arial"/>
          <w:sz w:val="24"/>
        </w:rPr>
        <w:t>Banque</w:t>
      </w:r>
      <w:proofErr w:type="spellEnd"/>
      <w:r>
        <w:rPr>
          <w:rFonts w:ascii="Arial" w:hAnsi="Arial"/>
          <w:sz w:val="24"/>
        </w:rPr>
        <w:t xml:space="preserve"> </w:t>
      </w:r>
      <w:proofErr w:type="spellStart"/>
      <w:proofErr w:type="gramStart"/>
      <w:r>
        <w:rPr>
          <w:rFonts w:ascii="Arial" w:hAnsi="Arial"/>
          <w:sz w:val="24"/>
        </w:rPr>
        <w:t>Mondiale</w:t>
      </w:r>
      <w:proofErr w:type="spellEnd"/>
      <w:r>
        <w:rPr>
          <w:rFonts w:ascii="Arial" w:hAnsi="Arial"/>
          <w:sz w:val="24"/>
        </w:rPr>
        <w:t> :</w:t>
      </w:r>
      <w:proofErr w:type="gramEnd"/>
      <w:r>
        <w:rPr>
          <w:rFonts w:ascii="Arial" w:hAnsi="Arial"/>
          <w:sz w:val="24"/>
        </w:rPr>
        <w:t xml:space="preserve">   175 000 000 FCFA.</w:t>
      </w:r>
    </w:p>
    <w:p w:rsidR="00C627DF" w:rsidRDefault="00C627DF" w:rsidP="00C627DF">
      <w:pPr>
        <w:jc w:val="both"/>
        <w:rPr>
          <w:rFonts w:ascii="Arial" w:hAnsi="Arial"/>
          <w:b/>
          <w:sz w:val="24"/>
        </w:rPr>
      </w:pPr>
      <w:r>
        <w:rPr>
          <w:rFonts w:ascii="Arial" w:hAnsi="Arial"/>
          <w:b/>
          <w:sz w:val="24"/>
        </w:rPr>
        <w:t>A/ S</w:t>
      </w:r>
      <w:r w:rsidRPr="00797E0A">
        <w:rPr>
          <w:rFonts w:ascii="Arial" w:hAnsi="Arial"/>
          <w:b/>
          <w:sz w:val="24"/>
        </w:rPr>
        <w:t xml:space="preserve">ubvention de </w:t>
      </w:r>
      <w:proofErr w:type="spellStart"/>
      <w:r w:rsidRPr="00797E0A">
        <w:rPr>
          <w:rFonts w:ascii="Arial" w:hAnsi="Arial"/>
          <w:b/>
          <w:sz w:val="24"/>
        </w:rPr>
        <w:t>l’Etat</w:t>
      </w:r>
      <w:proofErr w:type="spellEnd"/>
    </w:p>
    <w:p w:rsidR="00C627DF" w:rsidRPr="00C627DF" w:rsidRDefault="00C627DF" w:rsidP="00C627DF">
      <w:pPr>
        <w:jc w:val="both"/>
        <w:rPr>
          <w:rFonts w:ascii="Arial" w:hAnsi="Arial"/>
          <w:sz w:val="24"/>
          <w:lang w:val="fr-CA"/>
        </w:rPr>
      </w:pPr>
      <w:r w:rsidRPr="00C627DF">
        <w:rPr>
          <w:rFonts w:ascii="Arial" w:hAnsi="Arial"/>
          <w:sz w:val="24"/>
          <w:lang w:val="fr-CA"/>
        </w:rPr>
        <w:t>Dans le cadre de l’exécution du budget général de l’</w:t>
      </w:r>
      <w:r w:rsidR="006C5380" w:rsidRPr="00C627DF">
        <w:rPr>
          <w:rFonts w:ascii="Arial" w:hAnsi="Arial"/>
          <w:sz w:val="24"/>
          <w:lang w:val="fr-CA"/>
        </w:rPr>
        <w:t>État</w:t>
      </w:r>
      <w:r w:rsidRPr="00C627DF">
        <w:rPr>
          <w:rFonts w:ascii="Arial" w:hAnsi="Arial"/>
          <w:sz w:val="24"/>
          <w:lang w:val="fr-CA"/>
        </w:rPr>
        <w:t xml:space="preserve"> exercice 2020, l’ITIE a reçu du Trésor Public une subvention de 216 708 614 FCFA correspondant un taux de recouvrement de 54% du montant de la subvention annuelle de l’</w:t>
      </w:r>
      <w:r w:rsidR="006C5380" w:rsidRPr="00C627DF">
        <w:rPr>
          <w:rFonts w:ascii="Arial" w:hAnsi="Arial"/>
          <w:sz w:val="24"/>
          <w:lang w:val="fr-CA"/>
        </w:rPr>
        <w:t>État</w:t>
      </w:r>
      <w:r w:rsidRPr="00C627DF">
        <w:rPr>
          <w:rFonts w:ascii="Arial" w:hAnsi="Arial"/>
          <w:sz w:val="24"/>
          <w:lang w:val="fr-CA"/>
        </w:rPr>
        <w:t xml:space="preserve"> et 29</w:t>
      </w:r>
      <w:proofErr w:type="gramStart"/>
      <w:r w:rsidRPr="00C627DF">
        <w:rPr>
          <w:rFonts w:ascii="Arial" w:hAnsi="Arial"/>
          <w:sz w:val="24"/>
          <w:lang w:val="fr-CA"/>
        </w:rPr>
        <w:t>%  du</w:t>
      </w:r>
      <w:proofErr w:type="gramEnd"/>
      <w:r w:rsidRPr="00C627DF">
        <w:rPr>
          <w:rFonts w:ascii="Arial" w:hAnsi="Arial"/>
          <w:sz w:val="24"/>
          <w:lang w:val="fr-CA"/>
        </w:rPr>
        <w:t xml:space="preserve"> budget général de l’ITIE 2020 (</w:t>
      </w:r>
      <w:r w:rsidR="006C5380" w:rsidRPr="00C627DF">
        <w:rPr>
          <w:rFonts w:ascii="Arial" w:hAnsi="Arial"/>
          <w:sz w:val="24"/>
          <w:lang w:val="fr-CA"/>
        </w:rPr>
        <w:t>État</w:t>
      </w:r>
      <w:r w:rsidRPr="00C627DF">
        <w:rPr>
          <w:rFonts w:ascii="Arial" w:hAnsi="Arial"/>
          <w:sz w:val="24"/>
          <w:lang w:val="fr-CA"/>
        </w:rPr>
        <w:t xml:space="preserve"> et Partenaires).</w:t>
      </w:r>
    </w:p>
    <w:p w:rsidR="00C627DF" w:rsidRPr="00C627DF" w:rsidRDefault="00C627DF" w:rsidP="00C627DF">
      <w:pPr>
        <w:jc w:val="both"/>
        <w:rPr>
          <w:rFonts w:ascii="Arial" w:hAnsi="Arial"/>
          <w:sz w:val="24"/>
          <w:lang w:val="fr-CA"/>
        </w:rPr>
      </w:pPr>
      <w:r w:rsidRPr="00C627DF">
        <w:rPr>
          <w:rFonts w:ascii="Arial" w:hAnsi="Arial"/>
          <w:sz w:val="24"/>
          <w:lang w:val="fr-CA"/>
        </w:rPr>
        <w:t xml:space="preserve">NB : Au cours de cette année budgétaire aucune dépense n’a été payée sur le fonds des partenaires car les marchés attribués sont dans le circuit. </w:t>
      </w:r>
    </w:p>
    <w:p w:rsidR="00C627DF" w:rsidRPr="00C627DF" w:rsidRDefault="00C627DF" w:rsidP="00C627DF">
      <w:pPr>
        <w:rPr>
          <w:rFonts w:ascii="Arial" w:hAnsi="Arial"/>
          <w:b/>
          <w:sz w:val="24"/>
          <w:lang w:val="fr-CA"/>
        </w:rPr>
      </w:pPr>
      <w:r w:rsidRPr="00C627DF">
        <w:rPr>
          <w:rFonts w:ascii="Arial" w:hAnsi="Arial"/>
          <w:sz w:val="24"/>
          <w:lang w:val="fr-CA"/>
        </w:rPr>
        <w:lastRenderedPageBreak/>
        <w:t xml:space="preserve">Au titre de la subvention </w:t>
      </w:r>
      <w:r w:rsidR="006C5380" w:rsidRPr="00C627DF">
        <w:rPr>
          <w:rFonts w:ascii="Arial" w:hAnsi="Arial"/>
          <w:sz w:val="24"/>
          <w:lang w:val="fr-CA"/>
        </w:rPr>
        <w:t>État</w:t>
      </w:r>
      <w:r w:rsidRPr="00C627DF">
        <w:rPr>
          <w:rFonts w:ascii="Arial" w:hAnsi="Arial"/>
          <w:sz w:val="24"/>
          <w:lang w:val="fr-CA"/>
        </w:rPr>
        <w:t xml:space="preserve">, les dépenses toutes rubriques confondues </w:t>
      </w:r>
      <w:proofErr w:type="gramStart"/>
      <w:r w:rsidRPr="00C627DF">
        <w:rPr>
          <w:rFonts w:ascii="Arial" w:hAnsi="Arial"/>
          <w:sz w:val="24"/>
          <w:lang w:val="fr-CA"/>
        </w:rPr>
        <w:t>effectivement  payées</w:t>
      </w:r>
      <w:proofErr w:type="gramEnd"/>
      <w:r w:rsidRPr="00C627DF">
        <w:rPr>
          <w:rFonts w:ascii="Arial" w:hAnsi="Arial"/>
          <w:sz w:val="24"/>
          <w:lang w:val="fr-CA"/>
        </w:rPr>
        <w:t xml:space="preserve"> se chiffrent à 201 258 379 FCFA ce qui représente un taux d’exécution de 50% par rapport à la subvention </w:t>
      </w:r>
      <w:r w:rsidR="006C5380" w:rsidRPr="00C627DF">
        <w:rPr>
          <w:rFonts w:ascii="Arial" w:hAnsi="Arial"/>
          <w:sz w:val="24"/>
          <w:lang w:val="fr-CA"/>
        </w:rPr>
        <w:t>État</w:t>
      </w:r>
      <w:r w:rsidRPr="00C627DF">
        <w:rPr>
          <w:rFonts w:ascii="Arial" w:hAnsi="Arial"/>
          <w:sz w:val="24"/>
          <w:lang w:val="fr-CA"/>
        </w:rPr>
        <w:t xml:space="preserve"> et 27% par rapport au budget global annuel.</w:t>
      </w:r>
    </w:p>
    <w:p w:rsidR="00C627DF" w:rsidRPr="00C627DF" w:rsidRDefault="00C627DF" w:rsidP="00C627DF">
      <w:pPr>
        <w:rPr>
          <w:rFonts w:ascii="Arial" w:hAnsi="Arial"/>
          <w:b/>
          <w:sz w:val="24"/>
          <w:lang w:val="fr-CA"/>
        </w:rPr>
      </w:pPr>
      <w:r w:rsidRPr="00C627DF">
        <w:rPr>
          <w:rFonts w:ascii="Arial" w:hAnsi="Arial"/>
          <w:b/>
          <w:sz w:val="24"/>
          <w:lang w:val="fr-CA"/>
        </w:rPr>
        <w:t xml:space="preserve"> IV/ Exécution du budget ITIE 2021</w:t>
      </w:r>
    </w:p>
    <w:p w:rsidR="00C627DF" w:rsidRPr="00C627DF" w:rsidRDefault="00C627DF" w:rsidP="00C627DF">
      <w:pPr>
        <w:rPr>
          <w:rFonts w:ascii="Arial" w:hAnsi="Arial"/>
          <w:sz w:val="24"/>
          <w:lang w:val="fr-CA"/>
        </w:rPr>
      </w:pPr>
      <w:r w:rsidRPr="00C627DF">
        <w:rPr>
          <w:rFonts w:ascii="Arial" w:hAnsi="Arial"/>
          <w:sz w:val="24"/>
          <w:lang w:val="fr-CA"/>
        </w:rPr>
        <w:t>Le budget général ITIE 2021 (</w:t>
      </w:r>
      <w:r w:rsidR="006C5380" w:rsidRPr="00C627DF">
        <w:rPr>
          <w:rFonts w:ascii="Arial" w:hAnsi="Arial"/>
          <w:sz w:val="24"/>
          <w:lang w:val="fr-CA"/>
        </w:rPr>
        <w:t>État</w:t>
      </w:r>
      <w:r w:rsidRPr="00C627DF">
        <w:rPr>
          <w:rFonts w:ascii="Arial" w:hAnsi="Arial"/>
          <w:sz w:val="24"/>
          <w:lang w:val="fr-CA"/>
        </w:rPr>
        <w:t xml:space="preserve"> et Partenaires) est arrêté en </w:t>
      </w:r>
      <w:proofErr w:type="gramStart"/>
      <w:r w:rsidRPr="00C627DF">
        <w:rPr>
          <w:rFonts w:ascii="Arial" w:hAnsi="Arial"/>
          <w:sz w:val="24"/>
          <w:lang w:val="fr-CA"/>
        </w:rPr>
        <w:t>prévisions:</w:t>
      </w:r>
      <w:proofErr w:type="gramEnd"/>
    </w:p>
    <w:p w:rsidR="00C627DF" w:rsidRPr="006F0BAF" w:rsidRDefault="00C627DF" w:rsidP="00964112">
      <w:pPr>
        <w:pStyle w:val="Paragraphedeliste"/>
        <w:numPr>
          <w:ilvl w:val="0"/>
          <w:numId w:val="18"/>
        </w:numPr>
        <w:spacing w:before="0" w:after="160" w:line="259" w:lineRule="auto"/>
        <w:contextualSpacing/>
        <w:rPr>
          <w:rFonts w:ascii="Arial" w:hAnsi="Arial"/>
          <w:sz w:val="24"/>
        </w:rPr>
      </w:pPr>
      <w:r w:rsidRPr="00C627DF">
        <w:rPr>
          <w:rFonts w:ascii="Arial" w:hAnsi="Arial"/>
          <w:sz w:val="24"/>
          <w:lang w:val="fr-CA"/>
        </w:rPr>
        <w:t xml:space="preserve"> </w:t>
      </w:r>
      <w:r>
        <w:rPr>
          <w:rFonts w:ascii="Arial" w:hAnsi="Arial"/>
          <w:sz w:val="24"/>
        </w:rPr>
        <w:t>e</w:t>
      </w:r>
      <w:r w:rsidRPr="006F0BAF">
        <w:rPr>
          <w:rFonts w:ascii="Arial" w:hAnsi="Arial"/>
          <w:sz w:val="24"/>
        </w:rPr>
        <w:t xml:space="preserve">n </w:t>
      </w:r>
      <w:proofErr w:type="spellStart"/>
      <w:r w:rsidRPr="006F0BAF">
        <w:rPr>
          <w:rFonts w:ascii="Arial" w:hAnsi="Arial"/>
          <w:sz w:val="24"/>
        </w:rPr>
        <w:t>recettes</w:t>
      </w:r>
      <w:proofErr w:type="spellEnd"/>
      <w:r w:rsidRPr="006F0BAF">
        <w:rPr>
          <w:rFonts w:ascii="Arial" w:hAnsi="Arial"/>
          <w:sz w:val="24"/>
        </w:rPr>
        <w:t xml:space="preserve"> à : 648 247 010 FCFA</w:t>
      </w:r>
      <w:r>
        <w:rPr>
          <w:rFonts w:ascii="Arial" w:hAnsi="Arial"/>
          <w:sz w:val="24"/>
        </w:rPr>
        <w:t> ;</w:t>
      </w:r>
      <w:r w:rsidRPr="006F0BAF">
        <w:rPr>
          <w:rFonts w:ascii="Arial" w:hAnsi="Arial"/>
          <w:sz w:val="24"/>
        </w:rPr>
        <w:t xml:space="preserve"> </w:t>
      </w:r>
    </w:p>
    <w:p w:rsidR="00C627DF" w:rsidRDefault="00C627DF" w:rsidP="00964112">
      <w:pPr>
        <w:pStyle w:val="Paragraphedeliste"/>
        <w:numPr>
          <w:ilvl w:val="0"/>
          <w:numId w:val="18"/>
        </w:numPr>
        <w:spacing w:before="0" w:after="160" w:line="259" w:lineRule="auto"/>
        <w:contextualSpacing/>
        <w:rPr>
          <w:rFonts w:ascii="Arial" w:hAnsi="Arial"/>
          <w:sz w:val="24"/>
        </w:rPr>
      </w:pPr>
      <w:proofErr w:type="gramStart"/>
      <w:r w:rsidRPr="006F0BAF">
        <w:rPr>
          <w:rFonts w:ascii="Arial" w:hAnsi="Arial"/>
          <w:sz w:val="24"/>
        </w:rPr>
        <w:t>en</w:t>
      </w:r>
      <w:proofErr w:type="gramEnd"/>
      <w:r w:rsidRPr="006F0BAF">
        <w:rPr>
          <w:rFonts w:ascii="Arial" w:hAnsi="Arial"/>
          <w:sz w:val="24"/>
        </w:rPr>
        <w:t xml:space="preserve"> </w:t>
      </w:r>
      <w:proofErr w:type="spellStart"/>
      <w:r w:rsidRPr="006F0BAF">
        <w:rPr>
          <w:rFonts w:ascii="Arial" w:hAnsi="Arial"/>
          <w:sz w:val="24"/>
        </w:rPr>
        <w:t>dépenses</w:t>
      </w:r>
      <w:proofErr w:type="spellEnd"/>
      <w:r>
        <w:rPr>
          <w:rFonts w:ascii="Arial" w:hAnsi="Arial"/>
          <w:sz w:val="24"/>
        </w:rPr>
        <w:t xml:space="preserve"> à : 648 247 010 FCFA.</w:t>
      </w:r>
    </w:p>
    <w:p w:rsidR="00C627DF" w:rsidRPr="00C627DF" w:rsidRDefault="00C627DF" w:rsidP="00C627DF">
      <w:pPr>
        <w:rPr>
          <w:rFonts w:ascii="Arial" w:hAnsi="Arial"/>
          <w:sz w:val="24"/>
          <w:lang w:val="fr-CA"/>
        </w:rPr>
      </w:pPr>
      <w:r w:rsidRPr="00C627DF">
        <w:rPr>
          <w:rFonts w:ascii="Arial" w:hAnsi="Arial"/>
          <w:sz w:val="24"/>
          <w:lang w:val="fr-CA"/>
        </w:rPr>
        <w:t>Il se décompose comme </w:t>
      </w:r>
      <w:proofErr w:type="gramStart"/>
      <w:r w:rsidRPr="00C627DF">
        <w:rPr>
          <w:rFonts w:ascii="Arial" w:hAnsi="Arial"/>
          <w:sz w:val="24"/>
          <w:lang w:val="fr-CA"/>
        </w:rPr>
        <w:t>suit:</w:t>
      </w:r>
      <w:proofErr w:type="gramEnd"/>
    </w:p>
    <w:p w:rsidR="00C627DF" w:rsidRPr="00C627DF" w:rsidRDefault="00C627DF" w:rsidP="00C627DF">
      <w:pPr>
        <w:ind w:firstLine="708"/>
        <w:jc w:val="both"/>
        <w:rPr>
          <w:rFonts w:ascii="Arial" w:hAnsi="Arial"/>
          <w:sz w:val="24"/>
          <w:lang w:val="fr-CA"/>
        </w:rPr>
      </w:pPr>
      <w:r w:rsidRPr="00C627DF">
        <w:rPr>
          <w:rFonts w:ascii="Arial" w:hAnsi="Arial"/>
          <w:sz w:val="24"/>
          <w:lang w:val="fr-CA"/>
        </w:rPr>
        <w:t xml:space="preserve">.-Subvention </w:t>
      </w:r>
      <w:proofErr w:type="spellStart"/>
      <w:r w:rsidRPr="00C627DF">
        <w:rPr>
          <w:rFonts w:ascii="Arial" w:hAnsi="Arial"/>
          <w:sz w:val="24"/>
          <w:lang w:val="fr-CA"/>
        </w:rPr>
        <w:t>Etat</w:t>
      </w:r>
      <w:proofErr w:type="spellEnd"/>
      <w:r w:rsidRPr="00C627DF">
        <w:rPr>
          <w:rFonts w:ascii="Arial" w:hAnsi="Arial"/>
          <w:sz w:val="24"/>
          <w:lang w:val="fr-CA"/>
        </w:rPr>
        <w:t> : 415 450 235 FCFA</w:t>
      </w:r>
    </w:p>
    <w:p w:rsidR="00C627DF" w:rsidRPr="00C627DF" w:rsidRDefault="00C627DF" w:rsidP="00C627DF">
      <w:pPr>
        <w:jc w:val="both"/>
        <w:rPr>
          <w:rFonts w:ascii="Arial" w:hAnsi="Arial"/>
          <w:b/>
          <w:sz w:val="24"/>
          <w:lang w:val="fr-CA"/>
        </w:rPr>
      </w:pPr>
      <w:r w:rsidRPr="00C627DF">
        <w:rPr>
          <w:rFonts w:ascii="Arial" w:hAnsi="Arial"/>
          <w:b/>
          <w:sz w:val="24"/>
          <w:lang w:val="fr-CA"/>
        </w:rPr>
        <w:t>Contribution des Partenaires au Développement</w:t>
      </w:r>
    </w:p>
    <w:p w:rsidR="00C627DF" w:rsidRPr="00797E0A" w:rsidRDefault="00C627DF" w:rsidP="00964112">
      <w:pPr>
        <w:pStyle w:val="Paragraphedeliste"/>
        <w:numPr>
          <w:ilvl w:val="0"/>
          <w:numId w:val="19"/>
        </w:numPr>
        <w:spacing w:before="0" w:after="160" w:line="259" w:lineRule="auto"/>
        <w:contextualSpacing/>
        <w:jc w:val="both"/>
        <w:rPr>
          <w:rFonts w:ascii="Arial" w:hAnsi="Arial"/>
          <w:sz w:val="24"/>
        </w:rPr>
      </w:pPr>
      <w:r w:rsidRPr="000540DD">
        <w:rPr>
          <w:rFonts w:ascii="Arial" w:hAnsi="Arial"/>
          <w:sz w:val="24"/>
        </w:rPr>
        <w:t xml:space="preserve">Union </w:t>
      </w:r>
      <w:proofErr w:type="spellStart"/>
      <w:r>
        <w:rPr>
          <w:rFonts w:ascii="Arial" w:hAnsi="Arial"/>
          <w:sz w:val="24"/>
        </w:rPr>
        <w:t>Européenne</w:t>
      </w:r>
      <w:proofErr w:type="spellEnd"/>
      <w:r>
        <w:rPr>
          <w:rFonts w:ascii="Arial" w:hAnsi="Arial"/>
          <w:sz w:val="24"/>
        </w:rPr>
        <w:t> : 57 796 775 FCFA </w:t>
      </w:r>
    </w:p>
    <w:p w:rsidR="00C627DF" w:rsidRDefault="00C627DF" w:rsidP="00964112">
      <w:pPr>
        <w:pStyle w:val="Paragraphedeliste"/>
        <w:numPr>
          <w:ilvl w:val="0"/>
          <w:numId w:val="19"/>
        </w:numPr>
        <w:spacing w:before="0" w:after="160" w:line="259" w:lineRule="auto"/>
        <w:contextualSpacing/>
        <w:jc w:val="both"/>
        <w:rPr>
          <w:rFonts w:ascii="Arial" w:hAnsi="Arial"/>
          <w:sz w:val="24"/>
        </w:rPr>
      </w:pPr>
      <w:proofErr w:type="spellStart"/>
      <w:r>
        <w:rPr>
          <w:rFonts w:ascii="Arial" w:hAnsi="Arial"/>
          <w:sz w:val="24"/>
        </w:rPr>
        <w:t>Banque</w:t>
      </w:r>
      <w:proofErr w:type="spellEnd"/>
      <w:r>
        <w:rPr>
          <w:rFonts w:ascii="Arial" w:hAnsi="Arial"/>
          <w:sz w:val="24"/>
        </w:rPr>
        <w:t xml:space="preserve"> </w:t>
      </w:r>
      <w:proofErr w:type="spellStart"/>
      <w:proofErr w:type="gramStart"/>
      <w:r>
        <w:rPr>
          <w:rFonts w:ascii="Arial" w:hAnsi="Arial"/>
          <w:sz w:val="24"/>
        </w:rPr>
        <w:t>Mondiale</w:t>
      </w:r>
      <w:proofErr w:type="spellEnd"/>
      <w:r>
        <w:rPr>
          <w:rFonts w:ascii="Arial" w:hAnsi="Arial"/>
          <w:sz w:val="24"/>
        </w:rPr>
        <w:t> :</w:t>
      </w:r>
      <w:proofErr w:type="gramEnd"/>
      <w:r>
        <w:rPr>
          <w:rFonts w:ascii="Arial" w:hAnsi="Arial"/>
          <w:sz w:val="24"/>
        </w:rPr>
        <w:t xml:space="preserve">   175 000 000 FCFA.</w:t>
      </w:r>
    </w:p>
    <w:p w:rsidR="00C627DF" w:rsidRPr="00A94F25" w:rsidRDefault="00C627DF" w:rsidP="00964112">
      <w:pPr>
        <w:pStyle w:val="Paragraphedeliste"/>
        <w:numPr>
          <w:ilvl w:val="0"/>
          <w:numId w:val="20"/>
        </w:numPr>
        <w:spacing w:before="0" w:after="160" w:line="259" w:lineRule="auto"/>
        <w:contextualSpacing/>
        <w:jc w:val="both"/>
        <w:rPr>
          <w:rFonts w:ascii="Arial" w:hAnsi="Arial"/>
          <w:b/>
          <w:sz w:val="24"/>
        </w:rPr>
      </w:pPr>
      <w:r w:rsidRPr="00A94F25">
        <w:rPr>
          <w:rFonts w:ascii="Arial" w:hAnsi="Arial"/>
          <w:b/>
          <w:sz w:val="24"/>
        </w:rPr>
        <w:t xml:space="preserve">Subvention </w:t>
      </w:r>
      <w:proofErr w:type="spellStart"/>
      <w:r w:rsidRPr="00A94F25">
        <w:rPr>
          <w:rFonts w:ascii="Arial" w:hAnsi="Arial"/>
          <w:b/>
          <w:sz w:val="24"/>
        </w:rPr>
        <w:t>Etat</w:t>
      </w:r>
      <w:proofErr w:type="spellEnd"/>
    </w:p>
    <w:p w:rsidR="00C627DF" w:rsidRPr="00C627DF" w:rsidRDefault="00C627DF" w:rsidP="00C627DF">
      <w:pPr>
        <w:jc w:val="both"/>
        <w:rPr>
          <w:rFonts w:ascii="Arial" w:hAnsi="Arial"/>
          <w:sz w:val="24"/>
          <w:lang w:val="fr-CA"/>
        </w:rPr>
      </w:pPr>
      <w:r w:rsidRPr="00C627DF">
        <w:rPr>
          <w:rFonts w:ascii="Arial" w:hAnsi="Arial"/>
          <w:sz w:val="24"/>
          <w:lang w:val="fr-CA"/>
        </w:rPr>
        <w:t>En 2021 l’ITIE a reçu de l’</w:t>
      </w:r>
      <w:proofErr w:type="spellStart"/>
      <w:r w:rsidRPr="00C627DF">
        <w:rPr>
          <w:rFonts w:ascii="Arial" w:hAnsi="Arial"/>
          <w:sz w:val="24"/>
          <w:lang w:val="fr-CA"/>
        </w:rPr>
        <w:t>Etat</w:t>
      </w:r>
      <w:proofErr w:type="spellEnd"/>
      <w:r w:rsidRPr="00C627DF">
        <w:rPr>
          <w:rFonts w:ascii="Arial" w:hAnsi="Arial"/>
          <w:sz w:val="24"/>
          <w:lang w:val="fr-CA"/>
        </w:rPr>
        <w:t xml:space="preserve"> une subvention de : 174 842 323 FCFA pour son fonctionnement. Les dépenses payées toutes rubrique confondues s’élève à 174 292 323 FCFA ce qui représente un taux de recouvrement de 42% par rapport aux prévisions.</w:t>
      </w:r>
    </w:p>
    <w:p w:rsidR="00C627DF" w:rsidRPr="00C627DF" w:rsidRDefault="00C627DF" w:rsidP="00C627DF">
      <w:pPr>
        <w:jc w:val="both"/>
        <w:rPr>
          <w:rFonts w:ascii="Arial" w:hAnsi="Arial"/>
          <w:sz w:val="24"/>
          <w:lang w:val="fr-CA"/>
        </w:rPr>
      </w:pPr>
      <w:r w:rsidRPr="00C627DF">
        <w:rPr>
          <w:rFonts w:ascii="Arial" w:hAnsi="Arial"/>
          <w:sz w:val="24"/>
          <w:lang w:val="fr-CA"/>
        </w:rPr>
        <w:t>Les dépenses effectivement payées au cours de cette année se chiffrent à 174 292 393 FCFA, soit un taux de réalisation de 99% par rapport au recouvrement et 41% par rapport aux prévisions</w:t>
      </w:r>
    </w:p>
    <w:p w:rsidR="00C627DF" w:rsidRDefault="00C627DF" w:rsidP="00964112">
      <w:pPr>
        <w:pStyle w:val="Paragraphedeliste"/>
        <w:numPr>
          <w:ilvl w:val="0"/>
          <w:numId w:val="20"/>
        </w:numPr>
        <w:spacing w:before="0" w:after="160" w:line="259" w:lineRule="auto"/>
        <w:contextualSpacing/>
        <w:jc w:val="both"/>
        <w:rPr>
          <w:rFonts w:ascii="Arial" w:hAnsi="Arial"/>
          <w:b/>
          <w:sz w:val="24"/>
        </w:rPr>
      </w:pPr>
      <w:r w:rsidRPr="00A94F25">
        <w:rPr>
          <w:rFonts w:ascii="Arial" w:hAnsi="Arial"/>
          <w:b/>
          <w:sz w:val="24"/>
        </w:rPr>
        <w:t xml:space="preserve">Subvention </w:t>
      </w:r>
      <w:proofErr w:type="spellStart"/>
      <w:r>
        <w:rPr>
          <w:rFonts w:ascii="Arial" w:hAnsi="Arial"/>
          <w:b/>
          <w:sz w:val="24"/>
        </w:rPr>
        <w:t>Partenaires</w:t>
      </w:r>
      <w:proofErr w:type="spellEnd"/>
    </w:p>
    <w:p w:rsidR="00C627DF" w:rsidRDefault="00C627DF" w:rsidP="006C5380">
      <w:pPr>
        <w:jc w:val="both"/>
        <w:rPr>
          <w:rFonts w:ascii="Arial" w:hAnsi="Arial"/>
          <w:sz w:val="24"/>
        </w:rPr>
      </w:pPr>
      <w:r w:rsidRPr="00C627DF">
        <w:rPr>
          <w:rFonts w:ascii="Arial" w:hAnsi="Arial"/>
          <w:sz w:val="24"/>
          <w:lang w:val="fr-CA"/>
        </w:rPr>
        <w:t xml:space="preserve">Au titre de contribution des partenaires 2021, l’ITIE a bénéficié de la banque mondiale 99 261,11USD, soit 54 593 615 FCFA pour renforcer l’efficacité de la communication et de la divulgation du STP-ITIE. </w:t>
      </w:r>
      <w:proofErr w:type="spellStart"/>
      <w:r>
        <w:rPr>
          <w:rFonts w:ascii="Arial" w:hAnsi="Arial"/>
          <w:sz w:val="24"/>
        </w:rPr>
        <w:t>Cette</w:t>
      </w:r>
      <w:proofErr w:type="spellEnd"/>
      <w:r>
        <w:rPr>
          <w:rFonts w:ascii="Arial" w:hAnsi="Arial"/>
          <w:sz w:val="24"/>
        </w:rPr>
        <w:t xml:space="preserve"> </w:t>
      </w:r>
      <w:proofErr w:type="spellStart"/>
      <w:r>
        <w:rPr>
          <w:rFonts w:ascii="Arial" w:hAnsi="Arial"/>
          <w:sz w:val="24"/>
        </w:rPr>
        <w:t>activité</w:t>
      </w:r>
      <w:proofErr w:type="spellEnd"/>
      <w:r>
        <w:rPr>
          <w:rFonts w:ascii="Arial" w:hAnsi="Arial"/>
          <w:sz w:val="24"/>
        </w:rPr>
        <w:t xml:space="preserve"> </w:t>
      </w:r>
      <w:proofErr w:type="gramStart"/>
      <w:r>
        <w:rPr>
          <w:rFonts w:ascii="Arial" w:hAnsi="Arial"/>
          <w:sz w:val="24"/>
        </w:rPr>
        <w:t>a</w:t>
      </w:r>
      <w:proofErr w:type="gramEnd"/>
      <w:r>
        <w:rPr>
          <w:rFonts w:ascii="Arial" w:hAnsi="Arial"/>
          <w:sz w:val="24"/>
        </w:rPr>
        <w:t xml:space="preserve"> </w:t>
      </w:r>
      <w:proofErr w:type="spellStart"/>
      <w:r>
        <w:rPr>
          <w:rFonts w:ascii="Arial" w:hAnsi="Arial"/>
          <w:sz w:val="24"/>
        </w:rPr>
        <w:t>été</w:t>
      </w:r>
      <w:proofErr w:type="spellEnd"/>
      <w:r>
        <w:rPr>
          <w:rFonts w:ascii="Arial" w:hAnsi="Arial"/>
          <w:sz w:val="24"/>
        </w:rPr>
        <w:t xml:space="preserve"> </w:t>
      </w:r>
      <w:proofErr w:type="spellStart"/>
      <w:r>
        <w:rPr>
          <w:rFonts w:ascii="Arial" w:hAnsi="Arial"/>
          <w:sz w:val="24"/>
        </w:rPr>
        <w:t>effectivement</w:t>
      </w:r>
      <w:proofErr w:type="spellEnd"/>
      <w:r>
        <w:rPr>
          <w:rFonts w:ascii="Arial" w:hAnsi="Arial"/>
          <w:sz w:val="24"/>
        </w:rPr>
        <w:t xml:space="preserve"> </w:t>
      </w:r>
      <w:proofErr w:type="spellStart"/>
      <w:r>
        <w:rPr>
          <w:rFonts w:ascii="Arial" w:hAnsi="Arial"/>
          <w:sz w:val="24"/>
        </w:rPr>
        <w:t>réalisée</w:t>
      </w:r>
      <w:proofErr w:type="spellEnd"/>
      <w:r>
        <w:rPr>
          <w:rFonts w:ascii="Arial" w:hAnsi="Arial"/>
          <w:sz w:val="24"/>
        </w:rPr>
        <w:t xml:space="preserve"> en 2021.</w:t>
      </w:r>
    </w:p>
    <w:p w:rsidR="006C5380" w:rsidRDefault="006C5380" w:rsidP="006C5380">
      <w:pPr>
        <w:jc w:val="both"/>
        <w:rPr>
          <w:rFonts w:ascii="Arial" w:hAnsi="Arial"/>
          <w:sz w:val="24"/>
        </w:rPr>
      </w:pPr>
      <w:r>
        <w:rPr>
          <w:rFonts w:ascii="Arial" w:hAnsi="Arial"/>
          <w:sz w:val="24"/>
        </w:rPr>
        <w:t xml:space="preserve">                                ---------------------------------  //---------------------</w:t>
      </w:r>
    </w:p>
    <w:p w:rsidR="006C5380" w:rsidRPr="00C627DF" w:rsidRDefault="006C5380" w:rsidP="006C5380">
      <w:pPr>
        <w:pStyle w:val="Paragraphedeliste"/>
        <w:numPr>
          <w:ilvl w:val="0"/>
          <w:numId w:val="2"/>
        </w:numPr>
        <w:spacing w:before="0" w:after="200" w:line="276" w:lineRule="auto"/>
        <w:contextualSpacing/>
        <w:rPr>
          <w:rFonts w:ascii="Arial" w:hAnsi="Arial"/>
          <w:b/>
          <w:color w:val="000000" w:themeColor="text1"/>
          <w:sz w:val="28"/>
          <w:szCs w:val="28"/>
          <w:u w:val="single"/>
          <w:lang w:val="fr-CA"/>
        </w:rPr>
      </w:pPr>
      <w:r w:rsidRPr="00C627DF">
        <w:rPr>
          <w:rFonts w:ascii="Arial" w:hAnsi="Arial"/>
          <w:b/>
          <w:color w:val="000000" w:themeColor="text1"/>
          <w:sz w:val="28"/>
          <w:szCs w:val="28"/>
          <w:u w:val="single"/>
          <w:lang w:val="fr-CA"/>
        </w:rPr>
        <w:t>COMPOSITION DETAILLEE DU GROUPE MULTIPARTITE DURANT LA PERIODE CONCERNEE (2018 à 2020</w:t>
      </w:r>
      <w:proofErr w:type="gramStart"/>
      <w:r w:rsidRPr="00C627DF">
        <w:rPr>
          <w:rFonts w:ascii="Arial" w:hAnsi="Arial"/>
          <w:b/>
          <w:color w:val="000000" w:themeColor="text1"/>
          <w:sz w:val="28"/>
          <w:szCs w:val="28"/>
          <w:u w:val="single"/>
          <w:lang w:val="fr-CA"/>
        </w:rPr>
        <w:t>)Y</w:t>
      </w:r>
      <w:proofErr w:type="gramEnd"/>
      <w:r w:rsidRPr="00C627DF">
        <w:rPr>
          <w:rFonts w:ascii="Arial" w:hAnsi="Arial"/>
          <w:b/>
          <w:color w:val="000000" w:themeColor="text1"/>
          <w:sz w:val="28"/>
          <w:szCs w:val="28"/>
          <w:u w:val="single"/>
          <w:lang w:val="fr-CA"/>
        </w:rPr>
        <w:t xml:space="preserve"> compris le  détail du nombre de réunion et des présences)</w:t>
      </w:r>
    </w:p>
    <w:p w:rsidR="006C5380" w:rsidRPr="006C5380" w:rsidRDefault="006C5380" w:rsidP="006C5380">
      <w:pPr>
        <w:rPr>
          <w:rFonts w:ascii="Arial" w:hAnsi="Arial"/>
          <w:color w:val="FF0000"/>
          <w:sz w:val="24"/>
          <w:lang w:val="fr-CA"/>
        </w:rPr>
      </w:pPr>
      <w:r w:rsidRPr="006C5380">
        <w:rPr>
          <w:rFonts w:ascii="Arial" w:hAnsi="Arial"/>
          <w:color w:val="000000" w:themeColor="text1"/>
          <w:sz w:val="24"/>
          <w:lang w:val="fr-CA"/>
        </w:rPr>
        <w:t xml:space="preserve">Le Haut Comité National se réunit quatre fois l’année en session ordinaire soit une session tous les trois mois. </w:t>
      </w:r>
      <w:r>
        <w:rPr>
          <w:rFonts w:ascii="Arial" w:hAnsi="Arial"/>
          <w:color w:val="000000" w:themeColor="text1"/>
          <w:sz w:val="24"/>
          <w:lang w:val="fr-CA"/>
        </w:rPr>
        <w:t>Voir le tableau ci-dessous pour la composition détaillée du Groupe Multipartite/</w:t>
      </w:r>
    </w:p>
    <w:p w:rsidR="006C5380" w:rsidRPr="006C5380" w:rsidRDefault="006C5380" w:rsidP="006C5380">
      <w:pPr>
        <w:jc w:val="both"/>
        <w:rPr>
          <w:rFonts w:ascii="Arial" w:hAnsi="Arial"/>
          <w:sz w:val="24"/>
          <w:lang w:val="fr-CA"/>
        </w:rPr>
      </w:pPr>
    </w:p>
    <w:p w:rsidR="006F24F4" w:rsidRPr="006C5380" w:rsidRDefault="006F24F4" w:rsidP="0082284E">
      <w:pPr>
        <w:pStyle w:val="Titre2"/>
        <w:rPr>
          <w:rFonts w:ascii="Arial" w:hAnsi="Arial" w:cs="Arial"/>
          <w:sz w:val="24"/>
          <w:szCs w:val="24"/>
          <w:lang w:val="fr-CA"/>
        </w:rPr>
      </w:pPr>
    </w:p>
    <w:p w:rsidR="006F24F4" w:rsidRDefault="006F24F4" w:rsidP="0082284E">
      <w:pPr>
        <w:pStyle w:val="Titre2"/>
        <w:rPr>
          <w:lang w:val="fr-FR"/>
        </w:rPr>
      </w:pPr>
    </w:p>
    <w:p w:rsidR="006F24F4" w:rsidRDefault="006F24F4" w:rsidP="0082284E">
      <w:pPr>
        <w:pStyle w:val="Titre2"/>
        <w:rPr>
          <w:lang w:val="fr-FR"/>
        </w:rPr>
        <w:sectPr w:rsidR="006F24F4" w:rsidSect="00A9063B">
          <w:headerReference w:type="default" r:id="rId23"/>
          <w:footerReference w:type="default" r:id="rId24"/>
          <w:headerReference w:type="first" r:id="rId25"/>
          <w:footerReference w:type="first" r:id="rId26"/>
          <w:pgSz w:w="11901" w:h="16840"/>
          <w:pgMar w:top="1418" w:right="1411" w:bottom="1418" w:left="1418" w:header="851" w:footer="113" w:gutter="0"/>
          <w:pgNumType w:start="1"/>
          <w:cols w:space="708"/>
          <w:titlePg/>
          <w:docGrid w:linePitch="326"/>
        </w:sectPr>
      </w:pPr>
    </w:p>
    <w:p w:rsidR="0082284E" w:rsidRPr="00625B8B" w:rsidRDefault="0082284E" w:rsidP="0082284E">
      <w:pPr>
        <w:pStyle w:val="Titre2"/>
        <w:rPr>
          <w:lang w:val="fr-FR"/>
        </w:rPr>
      </w:pPr>
      <w:r w:rsidRPr="00625B8B">
        <w:rPr>
          <w:lang w:val="fr-FR"/>
        </w:rPr>
        <w:lastRenderedPageBreak/>
        <w:t>Membres du GMP et p</w:t>
      </w:r>
      <w:r>
        <w:rPr>
          <w:lang w:val="fr-FR"/>
        </w:rPr>
        <w:t>résences</w:t>
      </w:r>
      <w:bookmarkEnd w:id="0"/>
    </w:p>
    <w:p w:rsidR="0082284E" w:rsidRPr="0082284E" w:rsidRDefault="0082284E" w:rsidP="0082284E">
      <w:pPr>
        <w:rPr>
          <w:b/>
          <w:bCs/>
          <w:lang w:val="fr-FR"/>
        </w:rPr>
      </w:pPr>
      <w:r w:rsidRPr="00625B8B">
        <w:rPr>
          <w:b/>
          <w:bCs/>
          <w:lang w:val="fr-FR"/>
        </w:rPr>
        <w:t xml:space="preserve">1. Membres actuels du GMP. </w:t>
      </w:r>
      <w:r>
        <w:rPr>
          <w:b/>
          <w:bCs/>
          <w:lang w:val="fr-FR"/>
        </w:rPr>
        <w:t>Merci de remplir le tableau ci-dessous. Ajouter des lignes le cas échéant.</w:t>
      </w:r>
    </w:p>
    <w:tbl>
      <w:tblPr>
        <w:tblStyle w:val="Grilledutableau"/>
        <w:tblW w:w="16006" w:type="dxa"/>
        <w:jc w:val="center"/>
        <w:tblLayout w:type="fixed"/>
        <w:tblLook w:val="04A0" w:firstRow="1" w:lastRow="0" w:firstColumn="1" w:lastColumn="0" w:noHBand="0" w:noVBand="1"/>
      </w:tblPr>
      <w:tblGrid>
        <w:gridCol w:w="1702"/>
        <w:gridCol w:w="1276"/>
        <w:gridCol w:w="1134"/>
        <w:gridCol w:w="2551"/>
        <w:gridCol w:w="2552"/>
        <w:gridCol w:w="2126"/>
        <w:gridCol w:w="794"/>
        <w:gridCol w:w="3871"/>
      </w:tblGrid>
      <w:tr w:rsidR="0082284E" w:rsidRPr="003B03A5" w:rsidTr="00F21332">
        <w:trPr>
          <w:trHeight w:val="715"/>
          <w:jc w:val="center"/>
        </w:trPr>
        <w:tc>
          <w:tcPr>
            <w:tcW w:w="1702" w:type="dxa"/>
            <w:shd w:val="clear" w:color="auto" w:fill="E7E6E6" w:themeFill="background2"/>
            <w:vAlign w:val="center"/>
          </w:tcPr>
          <w:p w:rsidR="0082284E" w:rsidRPr="002A201C" w:rsidRDefault="00160104" w:rsidP="00B86362">
            <w:pPr>
              <w:spacing w:before="0" w:after="0"/>
            </w:pPr>
            <w:r>
              <w:t>College</w:t>
            </w:r>
          </w:p>
        </w:tc>
        <w:tc>
          <w:tcPr>
            <w:tcW w:w="1276" w:type="dxa"/>
            <w:shd w:val="clear" w:color="auto" w:fill="E7E6E6" w:themeFill="background2"/>
            <w:vAlign w:val="center"/>
          </w:tcPr>
          <w:p w:rsidR="0082284E" w:rsidRPr="002A201C" w:rsidRDefault="0082284E" w:rsidP="00B86362">
            <w:pPr>
              <w:spacing w:before="0" w:after="0"/>
            </w:pPr>
            <w:proofErr w:type="spellStart"/>
            <w:r>
              <w:t>Membre</w:t>
            </w:r>
            <w:proofErr w:type="spellEnd"/>
            <w:r>
              <w:t>/</w:t>
            </w:r>
            <w:r w:rsidR="00A15F96">
              <w:t xml:space="preserve"> </w:t>
            </w:r>
            <w:proofErr w:type="spellStart"/>
            <w:r>
              <w:t>suppléant</w:t>
            </w:r>
            <w:proofErr w:type="spellEnd"/>
          </w:p>
        </w:tc>
        <w:tc>
          <w:tcPr>
            <w:tcW w:w="1134" w:type="dxa"/>
            <w:shd w:val="clear" w:color="auto" w:fill="E7E6E6" w:themeFill="background2"/>
            <w:vAlign w:val="center"/>
          </w:tcPr>
          <w:p w:rsidR="0082284E" w:rsidRPr="008B053D" w:rsidRDefault="0082284E" w:rsidP="00B86362">
            <w:pPr>
              <w:spacing w:before="0" w:after="0"/>
              <w:rPr>
                <w:lang w:val="fr-FR"/>
              </w:rPr>
            </w:pPr>
            <w:r w:rsidRPr="008B053D">
              <w:rPr>
                <w:lang w:val="fr-FR"/>
              </w:rPr>
              <w:t xml:space="preserve">Membre depuis le </w:t>
            </w:r>
            <w:r w:rsidR="00D73390" w:rsidRPr="008B053D">
              <w:rPr>
                <w:lang w:val="fr-FR"/>
              </w:rPr>
              <w:t>(MM/AA)</w:t>
            </w:r>
          </w:p>
        </w:tc>
        <w:tc>
          <w:tcPr>
            <w:tcW w:w="2551" w:type="dxa"/>
            <w:shd w:val="clear" w:color="auto" w:fill="E7E6E6" w:themeFill="background2"/>
            <w:vAlign w:val="center"/>
          </w:tcPr>
          <w:p w:rsidR="0082284E" w:rsidRPr="002A201C" w:rsidRDefault="0082284E" w:rsidP="00B86362">
            <w:pPr>
              <w:spacing w:before="0" w:after="0"/>
            </w:pPr>
            <w:r>
              <w:t>Nom</w:t>
            </w:r>
          </w:p>
        </w:tc>
        <w:tc>
          <w:tcPr>
            <w:tcW w:w="2552" w:type="dxa"/>
            <w:shd w:val="clear" w:color="auto" w:fill="E7E6E6" w:themeFill="background2"/>
            <w:vAlign w:val="center"/>
          </w:tcPr>
          <w:p w:rsidR="0082284E" w:rsidRPr="002A201C" w:rsidRDefault="0082284E" w:rsidP="00B86362">
            <w:pPr>
              <w:spacing w:before="0" w:after="0"/>
            </w:pPr>
            <w:r>
              <w:t>Poste</w:t>
            </w:r>
          </w:p>
        </w:tc>
        <w:tc>
          <w:tcPr>
            <w:tcW w:w="2126" w:type="dxa"/>
            <w:shd w:val="clear" w:color="auto" w:fill="E7E6E6" w:themeFill="background2"/>
            <w:vAlign w:val="center"/>
          </w:tcPr>
          <w:p w:rsidR="0082284E" w:rsidRPr="002A201C" w:rsidRDefault="0082284E" w:rsidP="00B86362">
            <w:pPr>
              <w:spacing w:before="0" w:after="0"/>
            </w:pPr>
            <w:proofErr w:type="spellStart"/>
            <w:r w:rsidRPr="002A201C">
              <w:t>Organisation</w:t>
            </w:r>
            <w:proofErr w:type="spellEnd"/>
          </w:p>
        </w:tc>
        <w:tc>
          <w:tcPr>
            <w:tcW w:w="794" w:type="dxa"/>
            <w:shd w:val="clear" w:color="auto" w:fill="E7E6E6" w:themeFill="background2"/>
            <w:vAlign w:val="center"/>
          </w:tcPr>
          <w:p w:rsidR="0082284E" w:rsidRPr="002A201C" w:rsidRDefault="0082284E" w:rsidP="00B86362">
            <w:pPr>
              <w:spacing w:before="0" w:after="0"/>
            </w:pPr>
            <w:proofErr w:type="spellStart"/>
            <w:r>
              <w:t>Sexe</w:t>
            </w:r>
            <w:proofErr w:type="spellEnd"/>
          </w:p>
        </w:tc>
        <w:tc>
          <w:tcPr>
            <w:tcW w:w="3871" w:type="dxa"/>
            <w:shd w:val="clear" w:color="auto" w:fill="E7E6E6" w:themeFill="background2"/>
            <w:vAlign w:val="center"/>
          </w:tcPr>
          <w:p w:rsidR="0082284E" w:rsidRPr="00625B8B" w:rsidRDefault="0082284E" w:rsidP="00B86362">
            <w:pPr>
              <w:spacing w:before="0" w:after="0"/>
              <w:rPr>
                <w:lang w:val="fr-FR"/>
              </w:rPr>
            </w:pPr>
            <w:r w:rsidRPr="00625B8B">
              <w:rPr>
                <w:lang w:val="fr-FR"/>
              </w:rPr>
              <w:t>Particip</w:t>
            </w:r>
            <w:r>
              <w:rPr>
                <w:lang w:val="fr-FR"/>
              </w:rPr>
              <w:t>ation</w:t>
            </w:r>
            <w:r w:rsidRPr="00625B8B">
              <w:rPr>
                <w:lang w:val="fr-FR"/>
              </w:rPr>
              <w:t xml:space="preserve"> aux r</w:t>
            </w:r>
            <w:r>
              <w:rPr>
                <w:lang w:val="fr-FR"/>
              </w:rPr>
              <w:t>é</w:t>
            </w:r>
            <w:r w:rsidRPr="00625B8B">
              <w:rPr>
                <w:lang w:val="fr-FR"/>
              </w:rPr>
              <w:t xml:space="preserve">unions suivantes </w:t>
            </w:r>
            <w:r>
              <w:rPr>
                <w:lang w:val="fr-FR"/>
              </w:rPr>
              <w:t>d</w:t>
            </w:r>
            <w:r w:rsidRPr="00625B8B">
              <w:rPr>
                <w:lang w:val="fr-FR"/>
              </w:rPr>
              <w:t>urant la période examinée (dates)</w:t>
            </w:r>
          </w:p>
        </w:tc>
      </w:tr>
      <w:tr w:rsidR="0082284E" w:rsidRPr="003B03A5" w:rsidTr="00F21332">
        <w:trPr>
          <w:trHeight w:val="577"/>
          <w:jc w:val="center"/>
        </w:trPr>
        <w:tc>
          <w:tcPr>
            <w:tcW w:w="1702" w:type="dxa"/>
            <w:shd w:val="clear" w:color="auto" w:fill="E2EFD9" w:themeFill="accent6" w:themeFillTint="33"/>
            <w:vAlign w:val="center"/>
          </w:tcPr>
          <w:p w:rsidR="0082284E" w:rsidRPr="004E4737" w:rsidRDefault="00FB0FD8"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900B27" w:rsidP="00C92E73">
            <w:pPr>
              <w:spacing w:before="0" w:after="0"/>
              <w:rPr>
                <w:lang w:val="fr-FR"/>
              </w:rPr>
            </w:pPr>
            <w:r>
              <w:rPr>
                <w:lang w:val="fr-FR"/>
              </w:rPr>
              <w:t>02/</w:t>
            </w:r>
            <w:r w:rsidR="00CC5DA1" w:rsidRPr="004E4737">
              <w:rPr>
                <w:lang w:val="fr-FR"/>
              </w:rPr>
              <w:t>20</w:t>
            </w:r>
            <w:r w:rsidR="00C92E73">
              <w:rPr>
                <w:lang w:val="fr-FR"/>
              </w:rPr>
              <w:t>22</w:t>
            </w:r>
          </w:p>
        </w:tc>
        <w:tc>
          <w:tcPr>
            <w:tcW w:w="2551" w:type="dxa"/>
            <w:shd w:val="clear" w:color="auto" w:fill="E2EFD9" w:themeFill="accent6" w:themeFillTint="33"/>
            <w:vAlign w:val="center"/>
          </w:tcPr>
          <w:p w:rsidR="0082284E" w:rsidRPr="008871BA" w:rsidRDefault="008871BA" w:rsidP="00B86362">
            <w:pPr>
              <w:spacing w:before="0" w:after="0"/>
              <w:rPr>
                <w:lang w:val="fr-FR"/>
              </w:rPr>
            </w:pPr>
            <w:proofErr w:type="spellStart"/>
            <w:r w:rsidRPr="008871BA">
              <w:rPr>
                <w:lang w:val="fr-FR"/>
              </w:rPr>
              <w:t>Djerassem</w:t>
            </w:r>
            <w:proofErr w:type="spellEnd"/>
            <w:r w:rsidRPr="008871BA">
              <w:rPr>
                <w:lang w:val="fr-FR"/>
              </w:rPr>
              <w:t xml:space="preserve"> Le </w:t>
            </w:r>
            <w:proofErr w:type="spellStart"/>
            <w:r w:rsidRPr="008871BA">
              <w:rPr>
                <w:lang w:val="fr-FR"/>
              </w:rPr>
              <w:t>Bemadjiel</w:t>
            </w:r>
            <w:proofErr w:type="spellEnd"/>
          </w:p>
        </w:tc>
        <w:tc>
          <w:tcPr>
            <w:tcW w:w="2552" w:type="dxa"/>
            <w:shd w:val="clear" w:color="auto" w:fill="E2EFD9" w:themeFill="accent6" w:themeFillTint="33"/>
            <w:vAlign w:val="center"/>
          </w:tcPr>
          <w:p w:rsidR="00CC0515" w:rsidRPr="004E4737" w:rsidRDefault="00CC0515" w:rsidP="00B86362">
            <w:pPr>
              <w:spacing w:before="0" w:after="0"/>
              <w:rPr>
                <w:lang w:val="fr-FR"/>
              </w:rPr>
            </w:pPr>
            <w:r w:rsidRPr="004E4737">
              <w:rPr>
                <w:lang w:val="fr-FR"/>
              </w:rPr>
              <w:t>Ministre du Pétrole et de l’Energie,</w:t>
            </w:r>
            <w:r w:rsidR="00E550B2">
              <w:rPr>
                <w:lang w:val="fr-FR"/>
              </w:rPr>
              <w:t xml:space="preserve"> </w:t>
            </w:r>
            <w:r w:rsidRPr="004E4737">
              <w:rPr>
                <w:lang w:val="fr-FR"/>
              </w:rPr>
              <w:t>Président du HCN</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sidRPr="004E4737">
              <w:rPr>
                <w:lang w:val="fr-FR"/>
              </w:rPr>
              <w:t>Ministère</w:t>
            </w:r>
            <w:r w:rsidR="00FB0FD8" w:rsidRPr="004E4737">
              <w:rPr>
                <w:lang w:val="fr-FR"/>
              </w:rPr>
              <w:t xml:space="preserve"> du </w:t>
            </w:r>
            <w:r w:rsidRPr="004E4737">
              <w:rPr>
                <w:lang w:val="fr-FR"/>
              </w:rPr>
              <w:t>Pétrole</w:t>
            </w:r>
            <w:r w:rsidR="00C92E73">
              <w:rPr>
                <w:lang w:val="fr-FR"/>
              </w:rPr>
              <w:t xml:space="preserve"> et de l’Energie</w:t>
            </w:r>
          </w:p>
        </w:tc>
        <w:tc>
          <w:tcPr>
            <w:tcW w:w="794" w:type="dxa"/>
            <w:shd w:val="clear" w:color="auto" w:fill="E2EFD9" w:themeFill="accent6" w:themeFillTint="33"/>
            <w:vAlign w:val="center"/>
          </w:tcPr>
          <w:p w:rsidR="0082284E" w:rsidRPr="004E4737" w:rsidRDefault="00FB0FD8" w:rsidP="00B86362">
            <w:pPr>
              <w:spacing w:before="0" w:after="0"/>
              <w:rPr>
                <w:lang w:val="fr-FR"/>
              </w:rPr>
            </w:pPr>
            <w:r w:rsidRPr="004E4737">
              <w:rPr>
                <w:lang w:val="fr-FR"/>
              </w:rPr>
              <w:t>M</w:t>
            </w:r>
          </w:p>
        </w:tc>
        <w:tc>
          <w:tcPr>
            <w:tcW w:w="3871" w:type="dxa"/>
            <w:shd w:val="clear" w:color="auto" w:fill="E2EFD9" w:themeFill="accent6" w:themeFillTint="33"/>
            <w:vAlign w:val="center"/>
          </w:tcPr>
          <w:p w:rsidR="0082284E" w:rsidRPr="00750BEA" w:rsidRDefault="00821AD9" w:rsidP="00FA6089">
            <w:pPr>
              <w:spacing w:before="0" w:after="0"/>
              <w:rPr>
                <w:sz w:val="18"/>
                <w:szCs w:val="18"/>
                <w:lang w:val="fr-FR"/>
              </w:rPr>
            </w:pPr>
            <w:r w:rsidRPr="00750BEA">
              <w:rPr>
                <w:sz w:val="18"/>
                <w:szCs w:val="18"/>
                <w:lang w:val="fr-FR"/>
              </w:rPr>
              <w:t>Nouveau dans la période examinée (</w:t>
            </w:r>
            <w:r w:rsidR="00A77FFE" w:rsidRPr="00750BEA">
              <w:rPr>
                <w:sz w:val="18"/>
                <w:szCs w:val="18"/>
                <w:lang w:val="fr-FR"/>
              </w:rPr>
              <w:t>Aucune participation</w:t>
            </w:r>
            <w:r w:rsidRPr="00750BEA">
              <w:rPr>
                <w:sz w:val="18"/>
                <w:szCs w:val="18"/>
                <w:lang w:val="fr-FR"/>
              </w:rPr>
              <w:t>)</w:t>
            </w:r>
            <w:r w:rsidR="00A77FFE" w:rsidRPr="00750BEA">
              <w:rPr>
                <w:sz w:val="18"/>
                <w:szCs w:val="18"/>
                <w:lang w:val="fr-FR"/>
              </w:rPr>
              <w:t> :</w:t>
            </w:r>
            <w:r w:rsidR="00591EC1" w:rsidRPr="00750BEA">
              <w:rPr>
                <w:sz w:val="18"/>
                <w:szCs w:val="18"/>
                <w:lang w:val="fr-FR"/>
              </w:rPr>
              <w:t xml:space="preserve"> Décret N° 0509/PCMT/2022 portant remaniement des membres du Gouvernement</w:t>
            </w:r>
          </w:p>
        </w:tc>
      </w:tr>
      <w:tr w:rsidR="0082284E" w:rsidRPr="004E4737" w:rsidTr="00F21332">
        <w:trPr>
          <w:trHeight w:val="81"/>
          <w:jc w:val="center"/>
        </w:trPr>
        <w:tc>
          <w:tcPr>
            <w:tcW w:w="1702" w:type="dxa"/>
            <w:shd w:val="clear" w:color="auto" w:fill="E2EFD9" w:themeFill="accent6" w:themeFillTint="33"/>
            <w:vAlign w:val="center"/>
          </w:tcPr>
          <w:p w:rsidR="0082284E"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900B27" w:rsidP="00B86362">
            <w:pPr>
              <w:spacing w:before="0" w:after="0"/>
              <w:rPr>
                <w:lang w:val="fr-FR"/>
              </w:rPr>
            </w:pPr>
            <w:r>
              <w:rPr>
                <w:lang w:val="fr-FR"/>
              </w:rPr>
              <w:t>03/2021</w:t>
            </w:r>
          </w:p>
        </w:tc>
        <w:tc>
          <w:tcPr>
            <w:tcW w:w="2551" w:type="dxa"/>
            <w:shd w:val="clear" w:color="auto" w:fill="E2EFD9" w:themeFill="accent6" w:themeFillTint="33"/>
            <w:vAlign w:val="center"/>
          </w:tcPr>
          <w:p w:rsidR="0082284E" w:rsidRPr="004E4737" w:rsidRDefault="00FB0FD8" w:rsidP="00B86362">
            <w:pPr>
              <w:spacing w:before="0" w:after="0"/>
              <w:rPr>
                <w:lang w:val="fr-FR"/>
              </w:rPr>
            </w:pPr>
            <w:proofErr w:type="spellStart"/>
            <w:r w:rsidRPr="004E4737">
              <w:rPr>
                <w:lang w:val="fr-FR"/>
              </w:rPr>
              <w:t>Boukar</w:t>
            </w:r>
            <w:proofErr w:type="spellEnd"/>
            <w:r w:rsidRPr="004E4737">
              <w:rPr>
                <w:lang w:val="fr-FR"/>
              </w:rPr>
              <w:t xml:space="preserve"> Michel </w:t>
            </w:r>
          </w:p>
        </w:tc>
        <w:tc>
          <w:tcPr>
            <w:tcW w:w="2552" w:type="dxa"/>
            <w:shd w:val="clear" w:color="auto" w:fill="E2EFD9" w:themeFill="accent6" w:themeFillTint="33"/>
            <w:vAlign w:val="center"/>
          </w:tcPr>
          <w:p w:rsidR="0082284E" w:rsidRPr="004E4737" w:rsidRDefault="00FB0FD8" w:rsidP="00264C47">
            <w:pPr>
              <w:spacing w:before="0" w:after="0"/>
              <w:rPr>
                <w:lang w:val="fr-FR"/>
              </w:rPr>
            </w:pPr>
            <w:r w:rsidRPr="004E4737">
              <w:rPr>
                <w:lang w:val="fr-FR"/>
              </w:rPr>
              <w:t>Conseiller</w:t>
            </w:r>
            <w:r w:rsidR="00264C47">
              <w:rPr>
                <w:lang w:val="fr-FR"/>
              </w:rPr>
              <w:t xml:space="preserve"> M</w:t>
            </w:r>
            <w:r w:rsidR="00A43670" w:rsidRPr="004E4737">
              <w:rPr>
                <w:lang w:val="fr-FR"/>
              </w:rPr>
              <w:t xml:space="preserve">ines et </w:t>
            </w:r>
            <w:r w:rsidR="00264C47">
              <w:rPr>
                <w:lang w:val="fr-FR"/>
              </w:rPr>
              <w:t>Géologie</w:t>
            </w:r>
          </w:p>
        </w:tc>
        <w:tc>
          <w:tcPr>
            <w:tcW w:w="2126" w:type="dxa"/>
            <w:shd w:val="clear" w:color="auto" w:fill="E2EFD9" w:themeFill="accent6" w:themeFillTint="33"/>
            <w:vAlign w:val="center"/>
          </w:tcPr>
          <w:p w:rsidR="0082284E" w:rsidRPr="004E4737" w:rsidRDefault="00FB0FD8" w:rsidP="00B86362">
            <w:pPr>
              <w:spacing w:before="0" w:after="0"/>
              <w:rPr>
                <w:lang w:val="fr-FR"/>
              </w:rPr>
            </w:pPr>
            <w:r w:rsidRPr="004E4737">
              <w:rPr>
                <w:lang w:val="fr-FR"/>
              </w:rPr>
              <w:t xml:space="preserve">Présidence de la République </w:t>
            </w:r>
          </w:p>
        </w:tc>
        <w:tc>
          <w:tcPr>
            <w:tcW w:w="794" w:type="dxa"/>
            <w:shd w:val="clear" w:color="auto" w:fill="E2EFD9" w:themeFill="accent6" w:themeFillTint="33"/>
            <w:vAlign w:val="center"/>
          </w:tcPr>
          <w:p w:rsidR="0082284E" w:rsidRPr="004E4737" w:rsidRDefault="00FB0FD8" w:rsidP="00B86362">
            <w:pPr>
              <w:spacing w:before="0" w:after="0"/>
              <w:rPr>
                <w:lang w:val="fr-FR"/>
              </w:rPr>
            </w:pPr>
            <w:r w:rsidRPr="004E4737">
              <w:rPr>
                <w:lang w:val="fr-FR"/>
              </w:rPr>
              <w:t>M</w:t>
            </w:r>
          </w:p>
        </w:tc>
        <w:tc>
          <w:tcPr>
            <w:tcW w:w="3871" w:type="dxa"/>
            <w:shd w:val="clear" w:color="auto" w:fill="E2EFD9" w:themeFill="accent6" w:themeFillTint="33"/>
            <w:vAlign w:val="center"/>
          </w:tcPr>
          <w:p w:rsidR="0082284E" w:rsidRPr="004E4737" w:rsidRDefault="000E3317" w:rsidP="00695345">
            <w:pPr>
              <w:spacing w:before="0" w:after="0"/>
              <w:rPr>
                <w:lang w:val="fr-FR"/>
              </w:rPr>
            </w:pPr>
            <w:r>
              <w:rPr>
                <w:lang w:val="fr-FR"/>
              </w:rPr>
              <w:t xml:space="preserve">Régulier </w:t>
            </w:r>
            <w:r w:rsidR="00695345">
              <w:rPr>
                <w:lang w:val="fr-FR"/>
              </w:rPr>
              <w:t> </w:t>
            </w:r>
          </w:p>
        </w:tc>
      </w:tr>
      <w:tr w:rsidR="0082284E" w:rsidRPr="004E4737" w:rsidTr="00F21332">
        <w:trPr>
          <w:trHeight w:val="465"/>
          <w:jc w:val="center"/>
        </w:trPr>
        <w:tc>
          <w:tcPr>
            <w:tcW w:w="1702" w:type="dxa"/>
            <w:shd w:val="clear" w:color="auto" w:fill="E2EFD9" w:themeFill="accent6" w:themeFillTint="33"/>
            <w:vAlign w:val="center"/>
          </w:tcPr>
          <w:p w:rsidR="0082284E"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B45102" w:rsidP="00B86362">
            <w:pPr>
              <w:spacing w:before="0" w:after="0"/>
              <w:rPr>
                <w:lang w:val="fr-FR"/>
              </w:rPr>
            </w:pPr>
            <w:r>
              <w:rPr>
                <w:lang w:val="fr-FR"/>
              </w:rPr>
              <w:t>01/2019</w:t>
            </w:r>
          </w:p>
        </w:tc>
        <w:tc>
          <w:tcPr>
            <w:tcW w:w="2551" w:type="dxa"/>
            <w:shd w:val="clear" w:color="auto" w:fill="E2EFD9" w:themeFill="accent6" w:themeFillTint="33"/>
            <w:vAlign w:val="center"/>
          </w:tcPr>
          <w:p w:rsidR="0082284E" w:rsidRPr="004E4737" w:rsidRDefault="00A43670" w:rsidP="00B86362">
            <w:pPr>
              <w:spacing w:before="0" w:after="0"/>
              <w:rPr>
                <w:lang w:val="fr-FR"/>
              </w:rPr>
            </w:pPr>
            <w:proofErr w:type="spellStart"/>
            <w:r w:rsidRPr="004E4737">
              <w:rPr>
                <w:lang w:val="fr-FR"/>
              </w:rPr>
              <w:t>Adoum</w:t>
            </w:r>
            <w:proofErr w:type="spellEnd"/>
            <w:r w:rsidR="00E550B2">
              <w:rPr>
                <w:lang w:val="fr-FR"/>
              </w:rPr>
              <w:t xml:space="preserve"> </w:t>
            </w:r>
            <w:proofErr w:type="spellStart"/>
            <w:r w:rsidRPr="004E4737">
              <w:rPr>
                <w:lang w:val="fr-FR"/>
              </w:rPr>
              <w:t>Mahamat</w:t>
            </w:r>
            <w:proofErr w:type="spellEnd"/>
            <w:r w:rsidR="00E550B2">
              <w:rPr>
                <w:lang w:val="fr-FR"/>
              </w:rPr>
              <w:t xml:space="preserve"> </w:t>
            </w:r>
            <w:proofErr w:type="spellStart"/>
            <w:r w:rsidRPr="004E4737">
              <w:rPr>
                <w:lang w:val="fr-FR"/>
              </w:rPr>
              <w:t>Adoum</w:t>
            </w:r>
            <w:proofErr w:type="spellEnd"/>
          </w:p>
        </w:tc>
        <w:tc>
          <w:tcPr>
            <w:tcW w:w="2552"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DG/MPE</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Pr>
                <w:lang w:val="fr-FR"/>
              </w:rPr>
              <w:t>Ministère</w:t>
            </w:r>
            <w:r w:rsidR="00A43670" w:rsidRPr="004E4737">
              <w:rPr>
                <w:lang w:val="fr-FR"/>
              </w:rPr>
              <w:t xml:space="preserve"> du </w:t>
            </w:r>
            <w:r w:rsidRPr="004E4737">
              <w:rPr>
                <w:lang w:val="fr-FR"/>
              </w:rPr>
              <w:t>Pétrole</w:t>
            </w:r>
          </w:p>
        </w:tc>
        <w:tc>
          <w:tcPr>
            <w:tcW w:w="794"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M</w:t>
            </w:r>
          </w:p>
        </w:tc>
        <w:tc>
          <w:tcPr>
            <w:tcW w:w="3871" w:type="dxa"/>
            <w:shd w:val="clear" w:color="auto" w:fill="E2EFD9" w:themeFill="accent6" w:themeFillTint="33"/>
            <w:vAlign w:val="center"/>
          </w:tcPr>
          <w:p w:rsidR="0082284E" w:rsidRPr="004E4737" w:rsidRDefault="000E3317" w:rsidP="00B86362">
            <w:pPr>
              <w:spacing w:before="0" w:after="0"/>
              <w:rPr>
                <w:lang w:val="fr-FR"/>
              </w:rPr>
            </w:pPr>
            <w:r>
              <w:rPr>
                <w:lang w:val="fr-FR"/>
              </w:rPr>
              <w:t>Régulier  </w:t>
            </w:r>
          </w:p>
        </w:tc>
      </w:tr>
      <w:tr w:rsidR="0082284E" w:rsidRPr="004E4737" w:rsidTr="00F21332">
        <w:trPr>
          <w:trHeight w:val="81"/>
          <w:jc w:val="center"/>
        </w:trPr>
        <w:tc>
          <w:tcPr>
            <w:tcW w:w="1702" w:type="dxa"/>
            <w:shd w:val="clear" w:color="auto" w:fill="E2EFD9" w:themeFill="accent6" w:themeFillTint="33"/>
            <w:vAlign w:val="center"/>
          </w:tcPr>
          <w:p w:rsidR="0082284E"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B45102" w:rsidP="00B86362">
            <w:pPr>
              <w:spacing w:before="0" w:after="0"/>
              <w:rPr>
                <w:lang w:val="fr-FR"/>
              </w:rPr>
            </w:pPr>
            <w:r>
              <w:rPr>
                <w:lang w:val="fr-FR"/>
              </w:rPr>
              <w:t>01/2019</w:t>
            </w:r>
          </w:p>
        </w:tc>
        <w:tc>
          <w:tcPr>
            <w:tcW w:w="2551" w:type="dxa"/>
            <w:shd w:val="clear" w:color="auto" w:fill="E2EFD9" w:themeFill="accent6" w:themeFillTint="33"/>
            <w:vAlign w:val="center"/>
          </w:tcPr>
          <w:p w:rsidR="0082284E" w:rsidRPr="004E4737" w:rsidRDefault="00A43670" w:rsidP="00B86362">
            <w:pPr>
              <w:spacing w:before="0" w:after="0"/>
              <w:rPr>
                <w:lang w:val="fr-FR"/>
              </w:rPr>
            </w:pPr>
            <w:proofErr w:type="spellStart"/>
            <w:r w:rsidRPr="004E4737">
              <w:rPr>
                <w:lang w:val="fr-FR"/>
              </w:rPr>
              <w:t>Djedouboum</w:t>
            </w:r>
            <w:proofErr w:type="spellEnd"/>
            <w:r w:rsidRPr="004E4737">
              <w:rPr>
                <w:lang w:val="fr-FR"/>
              </w:rPr>
              <w:t xml:space="preserve"> Emmanuel Ambroise</w:t>
            </w:r>
          </w:p>
        </w:tc>
        <w:tc>
          <w:tcPr>
            <w:tcW w:w="2552"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 xml:space="preserve">DG/ </w:t>
            </w:r>
            <w:r w:rsidR="002D54A4" w:rsidRPr="004E4737">
              <w:rPr>
                <w:lang w:val="fr-FR"/>
              </w:rPr>
              <w:t>Ministère</w:t>
            </w:r>
            <w:r w:rsidRPr="004E4737">
              <w:rPr>
                <w:lang w:val="fr-FR"/>
              </w:rPr>
              <w:t xml:space="preserve"> des Mines </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Pr>
                <w:lang w:val="fr-FR"/>
              </w:rPr>
              <w:t>Ministère</w:t>
            </w:r>
            <w:r w:rsidR="00A43670" w:rsidRPr="004E4737">
              <w:rPr>
                <w:lang w:val="fr-FR"/>
              </w:rPr>
              <w:t xml:space="preserve"> des Mines et Energie</w:t>
            </w:r>
          </w:p>
        </w:tc>
        <w:tc>
          <w:tcPr>
            <w:tcW w:w="794"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82284E" w:rsidRPr="004E4737" w:rsidRDefault="000E3317" w:rsidP="00B86362">
            <w:pPr>
              <w:spacing w:before="0" w:after="0"/>
              <w:rPr>
                <w:lang w:val="fr-FR"/>
              </w:rPr>
            </w:pPr>
            <w:r>
              <w:rPr>
                <w:lang w:val="fr-FR"/>
              </w:rPr>
              <w:t>Régulier  </w:t>
            </w:r>
          </w:p>
        </w:tc>
      </w:tr>
      <w:tr w:rsidR="0082284E" w:rsidRPr="00944032" w:rsidTr="00F21332">
        <w:trPr>
          <w:trHeight w:val="81"/>
          <w:jc w:val="center"/>
        </w:trPr>
        <w:tc>
          <w:tcPr>
            <w:tcW w:w="1702" w:type="dxa"/>
            <w:shd w:val="clear" w:color="auto" w:fill="E2EFD9" w:themeFill="accent6" w:themeFillTint="33"/>
            <w:vAlign w:val="center"/>
          </w:tcPr>
          <w:p w:rsidR="0082284E" w:rsidRPr="004E4737" w:rsidRDefault="002245C3" w:rsidP="00B86362">
            <w:pPr>
              <w:spacing w:before="0" w:after="0"/>
              <w:rPr>
                <w:lang w:val="fr-FR"/>
              </w:rPr>
            </w:pPr>
            <w:r>
              <w:rPr>
                <w:lang w:val="fr-FR"/>
              </w:rPr>
              <w:t xml:space="preserve"> </w:t>
            </w:r>
            <w:r w:rsidR="006C0E49"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BA6E68" w:rsidP="00B86362">
            <w:pPr>
              <w:spacing w:before="0" w:after="0"/>
              <w:rPr>
                <w:lang w:val="fr-FR"/>
              </w:rPr>
            </w:pPr>
            <w:r>
              <w:rPr>
                <w:lang w:val="fr-FR"/>
              </w:rPr>
              <w:t>11/</w:t>
            </w:r>
            <w:r w:rsidR="00277C1F" w:rsidRPr="004E4737">
              <w:rPr>
                <w:lang w:val="fr-FR"/>
              </w:rPr>
              <w:t>2021</w:t>
            </w:r>
          </w:p>
        </w:tc>
        <w:tc>
          <w:tcPr>
            <w:tcW w:w="2551" w:type="dxa"/>
            <w:shd w:val="clear" w:color="auto" w:fill="E2EFD9" w:themeFill="accent6" w:themeFillTint="33"/>
            <w:vAlign w:val="center"/>
          </w:tcPr>
          <w:p w:rsidR="0082284E" w:rsidRPr="004E4737" w:rsidRDefault="00277C1F" w:rsidP="00B86362">
            <w:pPr>
              <w:spacing w:before="0" w:after="0"/>
              <w:rPr>
                <w:lang w:val="fr-FR"/>
              </w:rPr>
            </w:pPr>
            <w:r w:rsidRPr="004E4737">
              <w:rPr>
                <w:lang w:val="fr-FR"/>
              </w:rPr>
              <w:t xml:space="preserve">Moussa </w:t>
            </w:r>
            <w:proofErr w:type="spellStart"/>
            <w:r w:rsidRPr="004E4737">
              <w:rPr>
                <w:lang w:val="fr-FR"/>
              </w:rPr>
              <w:t>Angou</w:t>
            </w:r>
            <w:proofErr w:type="spellEnd"/>
            <w:r w:rsidR="00E550B2">
              <w:rPr>
                <w:lang w:val="fr-FR"/>
              </w:rPr>
              <w:t xml:space="preserve"> </w:t>
            </w:r>
            <w:proofErr w:type="spellStart"/>
            <w:r w:rsidRPr="004E4737">
              <w:rPr>
                <w:lang w:val="fr-FR"/>
              </w:rPr>
              <w:t>Younous</w:t>
            </w:r>
            <w:proofErr w:type="spellEnd"/>
          </w:p>
        </w:tc>
        <w:tc>
          <w:tcPr>
            <w:tcW w:w="2552" w:type="dxa"/>
            <w:shd w:val="clear" w:color="auto" w:fill="E2EFD9" w:themeFill="accent6" w:themeFillTint="33"/>
            <w:vAlign w:val="center"/>
          </w:tcPr>
          <w:p w:rsidR="0082284E" w:rsidRPr="004E4737" w:rsidRDefault="00277C1F" w:rsidP="00B86362">
            <w:pPr>
              <w:spacing w:before="0" w:after="0"/>
              <w:rPr>
                <w:lang w:val="fr-FR"/>
              </w:rPr>
            </w:pPr>
            <w:r w:rsidRPr="004E4737">
              <w:rPr>
                <w:lang w:val="fr-FR"/>
              </w:rPr>
              <w:t>Inspection Général du Trésor</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sidRPr="004E4737">
              <w:rPr>
                <w:lang w:val="fr-FR"/>
              </w:rPr>
              <w:t>Ministère</w:t>
            </w:r>
            <w:r w:rsidR="00A43670" w:rsidRPr="004E4737">
              <w:rPr>
                <w:lang w:val="fr-FR"/>
              </w:rPr>
              <w:t xml:space="preserve"> des Finances </w:t>
            </w:r>
          </w:p>
        </w:tc>
        <w:tc>
          <w:tcPr>
            <w:tcW w:w="794"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82284E" w:rsidRPr="004E4737" w:rsidRDefault="000E3317" w:rsidP="00B86362">
            <w:pPr>
              <w:spacing w:before="0" w:after="0"/>
              <w:rPr>
                <w:lang w:val="fr-FR"/>
              </w:rPr>
            </w:pPr>
            <w:r>
              <w:rPr>
                <w:lang w:val="fr-FR"/>
              </w:rPr>
              <w:t>Régulier  </w:t>
            </w:r>
          </w:p>
        </w:tc>
      </w:tr>
      <w:tr w:rsidR="0082284E" w:rsidRPr="004E4737" w:rsidTr="00F21332">
        <w:trPr>
          <w:trHeight w:val="391"/>
          <w:jc w:val="center"/>
        </w:trPr>
        <w:tc>
          <w:tcPr>
            <w:tcW w:w="1702" w:type="dxa"/>
            <w:shd w:val="clear" w:color="auto" w:fill="E2EFD9" w:themeFill="accent6" w:themeFillTint="33"/>
            <w:vAlign w:val="center"/>
          </w:tcPr>
          <w:p w:rsidR="0082284E"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82284E" w:rsidRPr="004E4737" w:rsidRDefault="0082284E" w:rsidP="00B86362">
            <w:pPr>
              <w:spacing w:before="0" w:after="0"/>
              <w:rPr>
                <w:lang w:val="fr-FR"/>
              </w:rPr>
            </w:pPr>
          </w:p>
        </w:tc>
        <w:tc>
          <w:tcPr>
            <w:tcW w:w="1134" w:type="dxa"/>
            <w:shd w:val="clear" w:color="auto" w:fill="E2EFD9" w:themeFill="accent6" w:themeFillTint="33"/>
            <w:vAlign w:val="center"/>
          </w:tcPr>
          <w:p w:rsidR="0082284E" w:rsidRPr="004E4737" w:rsidRDefault="00B45102" w:rsidP="00B86362">
            <w:pPr>
              <w:spacing w:before="0" w:after="0"/>
              <w:rPr>
                <w:lang w:val="fr-FR"/>
              </w:rPr>
            </w:pPr>
            <w:r>
              <w:rPr>
                <w:lang w:val="fr-FR"/>
              </w:rPr>
              <w:t>0</w:t>
            </w:r>
            <w:r w:rsidR="00900B27">
              <w:rPr>
                <w:lang w:val="fr-FR"/>
              </w:rPr>
              <w:t>1/201</w:t>
            </w:r>
            <w:r>
              <w:rPr>
                <w:lang w:val="fr-FR"/>
              </w:rPr>
              <w:t>9</w:t>
            </w:r>
            <w:r w:rsidR="00277C1F" w:rsidRPr="004E4737">
              <w:rPr>
                <w:lang w:val="fr-FR"/>
              </w:rPr>
              <w:t xml:space="preserve"> </w:t>
            </w:r>
          </w:p>
        </w:tc>
        <w:tc>
          <w:tcPr>
            <w:tcW w:w="2551" w:type="dxa"/>
            <w:shd w:val="clear" w:color="auto" w:fill="E2EFD9" w:themeFill="accent6" w:themeFillTint="33"/>
            <w:vAlign w:val="center"/>
          </w:tcPr>
          <w:p w:rsidR="0082284E" w:rsidRPr="004E4737" w:rsidRDefault="00A43670" w:rsidP="00B86362">
            <w:pPr>
              <w:spacing w:before="0" w:after="0"/>
              <w:rPr>
                <w:lang w:val="fr-FR"/>
              </w:rPr>
            </w:pPr>
            <w:proofErr w:type="spellStart"/>
            <w:r w:rsidRPr="004E4737">
              <w:rPr>
                <w:lang w:val="fr-FR"/>
              </w:rPr>
              <w:t>Mbainodoum</w:t>
            </w:r>
            <w:proofErr w:type="spellEnd"/>
            <w:r w:rsidRPr="004E4737">
              <w:rPr>
                <w:lang w:val="fr-FR"/>
              </w:rPr>
              <w:t xml:space="preserve"> Désire </w:t>
            </w:r>
          </w:p>
        </w:tc>
        <w:tc>
          <w:tcPr>
            <w:tcW w:w="2552" w:type="dxa"/>
            <w:shd w:val="clear" w:color="auto" w:fill="E2EFD9" w:themeFill="accent6" w:themeFillTint="33"/>
            <w:vAlign w:val="center"/>
          </w:tcPr>
          <w:p w:rsidR="0082284E" w:rsidRPr="004E4737" w:rsidRDefault="000E3317" w:rsidP="00B86362">
            <w:pPr>
              <w:spacing w:before="0" w:after="0"/>
              <w:rPr>
                <w:lang w:val="fr-FR"/>
              </w:rPr>
            </w:pPr>
            <w:r>
              <w:rPr>
                <w:lang w:val="fr-FR"/>
              </w:rPr>
              <w:t>Cadre du Ministère du Plan</w:t>
            </w:r>
          </w:p>
        </w:tc>
        <w:tc>
          <w:tcPr>
            <w:tcW w:w="2126" w:type="dxa"/>
            <w:shd w:val="clear" w:color="auto" w:fill="E2EFD9" w:themeFill="accent6" w:themeFillTint="33"/>
            <w:vAlign w:val="center"/>
          </w:tcPr>
          <w:p w:rsidR="0082284E" w:rsidRPr="004E4737" w:rsidRDefault="002D54A4" w:rsidP="00B86362">
            <w:pPr>
              <w:spacing w:before="0" w:after="0"/>
              <w:rPr>
                <w:lang w:val="fr-FR"/>
              </w:rPr>
            </w:pPr>
            <w:r w:rsidRPr="004E4737">
              <w:rPr>
                <w:lang w:val="fr-FR"/>
              </w:rPr>
              <w:t>Ministère</w:t>
            </w:r>
            <w:r w:rsidR="00A43670" w:rsidRPr="004E4737">
              <w:rPr>
                <w:lang w:val="fr-FR"/>
              </w:rPr>
              <w:t xml:space="preserve"> du Plan </w:t>
            </w:r>
          </w:p>
        </w:tc>
        <w:tc>
          <w:tcPr>
            <w:tcW w:w="794" w:type="dxa"/>
            <w:shd w:val="clear" w:color="auto" w:fill="E2EFD9" w:themeFill="accent6" w:themeFillTint="33"/>
            <w:vAlign w:val="center"/>
          </w:tcPr>
          <w:p w:rsidR="0082284E" w:rsidRPr="004E4737" w:rsidRDefault="00A43670"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82284E" w:rsidRPr="004E4737" w:rsidRDefault="000E3317" w:rsidP="00B86362">
            <w:pPr>
              <w:spacing w:before="0" w:after="0"/>
              <w:rPr>
                <w:lang w:val="fr-FR"/>
              </w:rPr>
            </w:pPr>
            <w:r>
              <w:rPr>
                <w:lang w:val="fr-FR"/>
              </w:rPr>
              <w:t>Régulier  </w:t>
            </w:r>
          </w:p>
        </w:tc>
      </w:tr>
      <w:tr w:rsidR="00A43670" w:rsidRPr="004E4737" w:rsidTr="00160104">
        <w:trPr>
          <w:trHeight w:val="437"/>
          <w:jc w:val="center"/>
        </w:trPr>
        <w:tc>
          <w:tcPr>
            <w:tcW w:w="1702" w:type="dxa"/>
            <w:shd w:val="clear" w:color="auto" w:fill="E2EFD9" w:themeFill="accent6" w:themeFillTint="33"/>
            <w:vAlign w:val="center"/>
          </w:tcPr>
          <w:p w:rsidR="00A43670"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A43670" w:rsidRPr="004E4737" w:rsidRDefault="00A43670" w:rsidP="00B86362">
            <w:pPr>
              <w:spacing w:before="0" w:after="0"/>
              <w:rPr>
                <w:lang w:val="fr-FR"/>
              </w:rPr>
            </w:pPr>
          </w:p>
        </w:tc>
        <w:tc>
          <w:tcPr>
            <w:tcW w:w="1134" w:type="dxa"/>
            <w:shd w:val="clear" w:color="auto" w:fill="E2EFD9" w:themeFill="accent6" w:themeFillTint="33"/>
            <w:vAlign w:val="center"/>
          </w:tcPr>
          <w:p w:rsidR="00A43670" w:rsidRPr="004E4737" w:rsidRDefault="00B45102" w:rsidP="00B86362">
            <w:pPr>
              <w:spacing w:before="0" w:after="0"/>
              <w:rPr>
                <w:lang w:val="fr-FR"/>
              </w:rPr>
            </w:pPr>
            <w:r>
              <w:rPr>
                <w:lang w:val="fr-FR"/>
              </w:rPr>
              <w:t>0</w:t>
            </w:r>
            <w:r w:rsidR="00900B27">
              <w:rPr>
                <w:lang w:val="fr-FR"/>
              </w:rPr>
              <w:t>1/201</w:t>
            </w:r>
            <w:r>
              <w:rPr>
                <w:lang w:val="fr-FR"/>
              </w:rPr>
              <w:t>9</w:t>
            </w:r>
          </w:p>
        </w:tc>
        <w:tc>
          <w:tcPr>
            <w:tcW w:w="2551" w:type="dxa"/>
            <w:shd w:val="clear" w:color="auto" w:fill="E2EFD9" w:themeFill="accent6" w:themeFillTint="33"/>
            <w:vAlign w:val="center"/>
          </w:tcPr>
          <w:p w:rsidR="00A43670" w:rsidRPr="004E4737" w:rsidRDefault="00277C1F" w:rsidP="00B86362">
            <w:pPr>
              <w:spacing w:before="0" w:after="0"/>
              <w:rPr>
                <w:lang w:val="fr-FR"/>
              </w:rPr>
            </w:pPr>
            <w:r w:rsidRPr="004E4737">
              <w:rPr>
                <w:lang w:val="fr-FR"/>
              </w:rPr>
              <w:t xml:space="preserve">Abdoulaye </w:t>
            </w:r>
            <w:proofErr w:type="spellStart"/>
            <w:r w:rsidRPr="004E4737">
              <w:rPr>
                <w:lang w:val="fr-FR"/>
              </w:rPr>
              <w:t>Souley</w:t>
            </w:r>
            <w:r w:rsidR="00C4768C">
              <w:rPr>
                <w:lang w:val="fr-FR"/>
              </w:rPr>
              <w:t>man</w:t>
            </w:r>
            <w:proofErr w:type="spellEnd"/>
            <w:r w:rsidR="00A43670" w:rsidRPr="004E4737">
              <w:rPr>
                <w:lang w:val="fr-FR"/>
              </w:rPr>
              <w:t xml:space="preserve"> </w:t>
            </w:r>
            <w:r w:rsidR="001843FB" w:rsidRPr="004E4737">
              <w:rPr>
                <w:lang w:val="fr-FR"/>
              </w:rPr>
              <w:t>Béchir</w:t>
            </w:r>
          </w:p>
        </w:tc>
        <w:tc>
          <w:tcPr>
            <w:tcW w:w="2552" w:type="dxa"/>
            <w:shd w:val="clear" w:color="auto" w:fill="E2EFD9" w:themeFill="accent6" w:themeFillTint="33"/>
            <w:vAlign w:val="center"/>
          </w:tcPr>
          <w:p w:rsidR="00A43670" w:rsidRPr="004E4737" w:rsidRDefault="006C0E49" w:rsidP="00B86362">
            <w:pPr>
              <w:spacing w:before="0" w:after="0"/>
              <w:rPr>
                <w:lang w:val="fr-FR"/>
              </w:rPr>
            </w:pPr>
            <w:r>
              <w:rPr>
                <w:lang w:val="fr-FR"/>
              </w:rPr>
              <w:t xml:space="preserve">Conseiller </w:t>
            </w:r>
            <w:r w:rsidR="00920CA4">
              <w:rPr>
                <w:lang w:val="fr-FR"/>
              </w:rPr>
              <w:t xml:space="preserve">du Ministre </w:t>
            </w:r>
            <w:r>
              <w:rPr>
                <w:lang w:val="fr-FR"/>
              </w:rPr>
              <w:t>SGG</w:t>
            </w:r>
          </w:p>
        </w:tc>
        <w:tc>
          <w:tcPr>
            <w:tcW w:w="2126" w:type="dxa"/>
            <w:shd w:val="clear" w:color="auto" w:fill="E2EFD9" w:themeFill="accent6" w:themeFillTint="33"/>
            <w:vAlign w:val="center"/>
          </w:tcPr>
          <w:p w:rsidR="00A43670" w:rsidRPr="004E4737" w:rsidRDefault="00A43670" w:rsidP="00B86362">
            <w:pPr>
              <w:spacing w:before="0" w:after="0"/>
              <w:rPr>
                <w:lang w:val="fr-FR"/>
              </w:rPr>
            </w:pPr>
            <w:r w:rsidRPr="004E4737">
              <w:rPr>
                <w:lang w:val="fr-FR"/>
              </w:rPr>
              <w:t>SGG</w:t>
            </w:r>
          </w:p>
        </w:tc>
        <w:tc>
          <w:tcPr>
            <w:tcW w:w="794" w:type="dxa"/>
            <w:shd w:val="clear" w:color="auto" w:fill="E2EFD9" w:themeFill="accent6" w:themeFillTint="33"/>
            <w:vAlign w:val="center"/>
          </w:tcPr>
          <w:p w:rsidR="00A43670" w:rsidRPr="004E4737" w:rsidRDefault="000B195E"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A43670" w:rsidRPr="004E4737" w:rsidRDefault="000E3317" w:rsidP="00B86362">
            <w:pPr>
              <w:spacing w:before="0" w:after="0"/>
              <w:rPr>
                <w:lang w:val="fr-FR"/>
              </w:rPr>
            </w:pPr>
            <w:r>
              <w:rPr>
                <w:lang w:val="fr-FR"/>
              </w:rPr>
              <w:t>Régulier  </w:t>
            </w:r>
          </w:p>
        </w:tc>
      </w:tr>
      <w:tr w:rsidR="00A43670" w:rsidRPr="004E4737" w:rsidTr="00F21332">
        <w:trPr>
          <w:trHeight w:val="81"/>
          <w:jc w:val="center"/>
        </w:trPr>
        <w:tc>
          <w:tcPr>
            <w:tcW w:w="1702" w:type="dxa"/>
            <w:shd w:val="clear" w:color="auto" w:fill="E2EFD9" w:themeFill="accent6" w:themeFillTint="33"/>
            <w:vAlign w:val="center"/>
          </w:tcPr>
          <w:p w:rsidR="00A43670"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A43670" w:rsidRPr="004E4737" w:rsidRDefault="00A43670" w:rsidP="00B86362">
            <w:pPr>
              <w:spacing w:before="0" w:after="0"/>
              <w:rPr>
                <w:lang w:val="fr-FR"/>
              </w:rPr>
            </w:pPr>
          </w:p>
        </w:tc>
        <w:tc>
          <w:tcPr>
            <w:tcW w:w="1134" w:type="dxa"/>
            <w:shd w:val="clear" w:color="auto" w:fill="E2EFD9" w:themeFill="accent6" w:themeFillTint="33"/>
            <w:vAlign w:val="center"/>
          </w:tcPr>
          <w:p w:rsidR="00A43670" w:rsidRPr="004E4737" w:rsidRDefault="00900B27" w:rsidP="00B86362">
            <w:pPr>
              <w:spacing w:before="0" w:after="0"/>
              <w:rPr>
                <w:lang w:val="fr-FR"/>
              </w:rPr>
            </w:pPr>
            <w:r>
              <w:rPr>
                <w:lang w:val="fr-FR"/>
              </w:rPr>
              <w:t>03/2021</w:t>
            </w:r>
          </w:p>
        </w:tc>
        <w:tc>
          <w:tcPr>
            <w:tcW w:w="2551" w:type="dxa"/>
            <w:shd w:val="clear" w:color="auto" w:fill="E2EFD9" w:themeFill="accent6" w:themeFillTint="33"/>
            <w:vAlign w:val="center"/>
          </w:tcPr>
          <w:p w:rsidR="00A43670" w:rsidRPr="004E4737" w:rsidRDefault="00A43670" w:rsidP="00B86362">
            <w:pPr>
              <w:spacing w:before="0" w:after="0"/>
              <w:rPr>
                <w:lang w:val="fr-FR"/>
              </w:rPr>
            </w:pPr>
            <w:proofErr w:type="spellStart"/>
            <w:r w:rsidRPr="004E4737">
              <w:rPr>
                <w:lang w:val="fr-FR"/>
              </w:rPr>
              <w:t>Salibou</w:t>
            </w:r>
            <w:proofErr w:type="spellEnd"/>
            <w:r w:rsidR="00C4768C">
              <w:rPr>
                <w:lang w:val="fr-FR"/>
              </w:rPr>
              <w:t xml:space="preserve"> </w:t>
            </w:r>
            <w:proofErr w:type="spellStart"/>
            <w:r w:rsidRPr="004E4737">
              <w:rPr>
                <w:lang w:val="fr-FR"/>
              </w:rPr>
              <w:t>Garba</w:t>
            </w:r>
            <w:proofErr w:type="spellEnd"/>
          </w:p>
        </w:tc>
        <w:tc>
          <w:tcPr>
            <w:tcW w:w="2552" w:type="dxa"/>
            <w:shd w:val="clear" w:color="auto" w:fill="E2EFD9" w:themeFill="accent6" w:themeFillTint="33"/>
            <w:vAlign w:val="center"/>
          </w:tcPr>
          <w:p w:rsidR="00A43670" w:rsidRPr="004E4737" w:rsidRDefault="000E3317" w:rsidP="00B86362">
            <w:pPr>
              <w:spacing w:before="0" w:after="0"/>
              <w:rPr>
                <w:lang w:val="fr-FR"/>
              </w:rPr>
            </w:pPr>
            <w:r>
              <w:rPr>
                <w:lang w:val="fr-FR"/>
              </w:rPr>
              <w:t>Député</w:t>
            </w:r>
          </w:p>
        </w:tc>
        <w:tc>
          <w:tcPr>
            <w:tcW w:w="2126" w:type="dxa"/>
            <w:shd w:val="clear" w:color="auto" w:fill="E2EFD9" w:themeFill="accent6" w:themeFillTint="33"/>
            <w:vAlign w:val="center"/>
          </w:tcPr>
          <w:p w:rsidR="00A43670" w:rsidRPr="004E4737" w:rsidRDefault="00A43670" w:rsidP="00B86362">
            <w:pPr>
              <w:spacing w:before="0" w:after="0"/>
              <w:rPr>
                <w:lang w:val="fr-FR"/>
              </w:rPr>
            </w:pPr>
            <w:r w:rsidRPr="004E4737">
              <w:rPr>
                <w:lang w:val="fr-FR"/>
              </w:rPr>
              <w:t>Assemblée Nationale</w:t>
            </w:r>
          </w:p>
        </w:tc>
        <w:tc>
          <w:tcPr>
            <w:tcW w:w="794" w:type="dxa"/>
            <w:shd w:val="clear" w:color="auto" w:fill="E2EFD9" w:themeFill="accent6" w:themeFillTint="33"/>
            <w:vAlign w:val="center"/>
          </w:tcPr>
          <w:p w:rsidR="00A43670" w:rsidRPr="004E4737" w:rsidRDefault="000B195E" w:rsidP="00B86362">
            <w:pPr>
              <w:spacing w:before="0" w:after="0"/>
              <w:rPr>
                <w:lang w:val="fr-FR"/>
              </w:rPr>
            </w:pPr>
            <w:r w:rsidRPr="004E4737">
              <w:rPr>
                <w:lang w:val="fr-FR"/>
              </w:rPr>
              <w:t xml:space="preserve">M </w:t>
            </w:r>
          </w:p>
        </w:tc>
        <w:tc>
          <w:tcPr>
            <w:tcW w:w="3871" w:type="dxa"/>
            <w:shd w:val="clear" w:color="auto" w:fill="E2EFD9" w:themeFill="accent6" w:themeFillTint="33"/>
            <w:vAlign w:val="center"/>
          </w:tcPr>
          <w:p w:rsidR="00A43670" w:rsidRPr="004E4737" w:rsidRDefault="00B96BC8" w:rsidP="00B86362">
            <w:pPr>
              <w:spacing w:before="0" w:after="0"/>
              <w:rPr>
                <w:lang w:val="fr-FR"/>
              </w:rPr>
            </w:pPr>
            <w:r>
              <w:rPr>
                <w:lang w:val="fr-FR"/>
              </w:rPr>
              <w:t>Régulier  </w:t>
            </w:r>
          </w:p>
        </w:tc>
      </w:tr>
      <w:tr w:rsidR="00900B27" w:rsidRPr="004E4737" w:rsidTr="00F21332">
        <w:trPr>
          <w:trHeight w:val="81"/>
          <w:jc w:val="center"/>
        </w:trPr>
        <w:tc>
          <w:tcPr>
            <w:tcW w:w="1702" w:type="dxa"/>
            <w:shd w:val="clear" w:color="auto" w:fill="E2EFD9" w:themeFill="accent6" w:themeFillTint="33"/>
            <w:vAlign w:val="center"/>
          </w:tcPr>
          <w:p w:rsidR="00900B27" w:rsidRPr="004E4737" w:rsidRDefault="006C0E49" w:rsidP="00B86362">
            <w:pPr>
              <w:spacing w:before="0" w:after="0"/>
              <w:rPr>
                <w:lang w:val="fr-FR"/>
              </w:rPr>
            </w:pPr>
            <w:r w:rsidRPr="004E4737">
              <w:rPr>
                <w:lang w:val="fr-FR"/>
              </w:rPr>
              <w:t>Gouvernement</w:t>
            </w:r>
          </w:p>
        </w:tc>
        <w:tc>
          <w:tcPr>
            <w:tcW w:w="1276" w:type="dxa"/>
            <w:shd w:val="clear" w:color="auto" w:fill="E2EFD9" w:themeFill="accent6" w:themeFillTint="33"/>
            <w:vAlign w:val="center"/>
          </w:tcPr>
          <w:p w:rsidR="00900B27" w:rsidRPr="004E4737" w:rsidRDefault="00900B27" w:rsidP="00B86362">
            <w:pPr>
              <w:spacing w:before="0" w:after="0"/>
              <w:rPr>
                <w:lang w:val="fr-FR"/>
              </w:rPr>
            </w:pPr>
          </w:p>
        </w:tc>
        <w:tc>
          <w:tcPr>
            <w:tcW w:w="1134" w:type="dxa"/>
            <w:shd w:val="clear" w:color="auto" w:fill="E2EFD9" w:themeFill="accent6" w:themeFillTint="33"/>
            <w:vAlign w:val="center"/>
          </w:tcPr>
          <w:p w:rsidR="00900B27" w:rsidRPr="004E4737" w:rsidRDefault="00B45102" w:rsidP="006C3BC5">
            <w:pPr>
              <w:spacing w:before="0" w:after="0"/>
              <w:rPr>
                <w:lang w:val="fr-FR"/>
              </w:rPr>
            </w:pPr>
            <w:r>
              <w:rPr>
                <w:lang w:val="fr-FR"/>
              </w:rPr>
              <w:t>0</w:t>
            </w:r>
            <w:r w:rsidR="00900B27">
              <w:rPr>
                <w:lang w:val="fr-FR"/>
              </w:rPr>
              <w:t>1/201</w:t>
            </w:r>
            <w:r>
              <w:rPr>
                <w:lang w:val="fr-FR"/>
              </w:rPr>
              <w:t>9</w:t>
            </w:r>
          </w:p>
        </w:tc>
        <w:tc>
          <w:tcPr>
            <w:tcW w:w="2551" w:type="dxa"/>
            <w:shd w:val="clear" w:color="auto" w:fill="E2EFD9" w:themeFill="accent6" w:themeFillTint="33"/>
            <w:vAlign w:val="center"/>
          </w:tcPr>
          <w:p w:rsidR="00900B27" w:rsidRPr="004E4737" w:rsidRDefault="00900B27" w:rsidP="00B86362">
            <w:pPr>
              <w:spacing w:before="0" w:after="0"/>
              <w:rPr>
                <w:lang w:val="fr-FR"/>
              </w:rPr>
            </w:pPr>
            <w:r w:rsidRPr="004E4737">
              <w:rPr>
                <w:lang w:val="fr-FR"/>
              </w:rPr>
              <w:t xml:space="preserve">Mme </w:t>
            </w:r>
            <w:proofErr w:type="spellStart"/>
            <w:r w:rsidRPr="004E4737">
              <w:rPr>
                <w:lang w:val="fr-FR"/>
              </w:rPr>
              <w:t>Nepidé</w:t>
            </w:r>
            <w:proofErr w:type="spellEnd"/>
            <w:r>
              <w:rPr>
                <w:lang w:val="fr-FR"/>
              </w:rPr>
              <w:t xml:space="preserve"> </w:t>
            </w:r>
            <w:proofErr w:type="spellStart"/>
            <w:r w:rsidRPr="004E4737">
              <w:rPr>
                <w:lang w:val="fr-FR"/>
              </w:rPr>
              <w:t>Dossoum</w:t>
            </w:r>
            <w:proofErr w:type="spellEnd"/>
            <w:r>
              <w:rPr>
                <w:lang w:val="fr-FR"/>
              </w:rPr>
              <w:t xml:space="preserve"> </w:t>
            </w:r>
            <w:proofErr w:type="spellStart"/>
            <w:r w:rsidRPr="004E4737">
              <w:rPr>
                <w:lang w:val="fr-FR"/>
              </w:rPr>
              <w:t>Popé</w:t>
            </w:r>
            <w:r>
              <w:rPr>
                <w:lang w:val="fr-FR"/>
              </w:rPr>
              <w:t>e</w:t>
            </w:r>
            <w:proofErr w:type="spellEnd"/>
          </w:p>
        </w:tc>
        <w:tc>
          <w:tcPr>
            <w:tcW w:w="2552" w:type="dxa"/>
            <w:shd w:val="clear" w:color="auto" w:fill="E2EFD9" w:themeFill="accent6" w:themeFillTint="33"/>
            <w:vAlign w:val="center"/>
          </w:tcPr>
          <w:p w:rsidR="00900B27" w:rsidRPr="004E4737" w:rsidRDefault="00920CA4" w:rsidP="00B86362">
            <w:pPr>
              <w:spacing w:before="0" w:after="0"/>
              <w:rPr>
                <w:lang w:val="fr-FR"/>
              </w:rPr>
            </w:pPr>
            <w:r>
              <w:rPr>
                <w:lang w:val="fr-FR"/>
              </w:rPr>
              <w:t>Conseillère</w:t>
            </w:r>
            <w:r w:rsidR="000610C4">
              <w:rPr>
                <w:lang w:val="fr-FR"/>
              </w:rPr>
              <w:t xml:space="preserve"> à la Chambre de</w:t>
            </w:r>
            <w:r>
              <w:rPr>
                <w:lang w:val="fr-FR"/>
              </w:rPr>
              <w:t xml:space="preserve"> Comptes</w:t>
            </w:r>
          </w:p>
        </w:tc>
        <w:tc>
          <w:tcPr>
            <w:tcW w:w="2126" w:type="dxa"/>
            <w:shd w:val="clear" w:color="auto" w:fill="E2EFD9" w:themeFill="accent6" w:themeFillTint="33"/>
            <w:vAlign w:val="center"/>
          </w:tcPr>
          <w:p w:rsidR="00900B27" w:rsidRPr="004E4737" w:rsidRDefault="00900B27" w:rsidP="00B86362">
            <w:pPr>
              <w:spacing w:before="0" w:after="0"/>
              <w:rPr>
                <w:lang w:val="fr-FR"/>
              </w:rPr>
            </w:pPr>
            <w:r w:rsidRPr="004E4737">
              <w:rPr>
                <w:lang w:val="fr-FR"/>
              </w:rPr>
              <w:t xml:space="preserve">Chambre des Comptes </w:t>
            </w:r>
          </w:p>
        </w:tc>
        <w:tc>
          <w:tcPr>
            <w:tcW w:w="794" w:type="dxa"/>
            <w:shd w:val="clear" w:color="auto" w:fill="E2EFD9" w:themeFill="accent6" w:themeFillTint="33"/>
            <w:vAlign w:val="center"/>
          </w:tcPr>
          <w:p w:rsidR="00900B27" w:rsidRPr="004E4737" w:rsidRDefault="00900B27" w:rsidP="00B86362">
            <w:pPr>
              <w:spacing w:before="0" w:after="0"/>
              <w:rPr>
                <w:lang w:val="fr-FR"/>
              </w:rPr>
            </w:pPr>
            <w:r w:rsidRPr="004E4737">
              <w:rPr>
                <w:lang w:val="fr-FR"/>
              </w:rPr>
              <w:t>F</w:t>
            </w:r>
          </w:p>
        </w:tc>
        <w:tc>
          <w:tcPr>
            <w:tcW w:w="3871" w:type="dxa"/>
            <w:shd w:val="clear" w:color="auto" w:fill="E2EFD9" w:themeFill="accent6" w:themeFillTint="33"/>
            <w:vAlign w:val="center"/>
          </w:tcPr>
          <w:p w:rsidR="00900B27" w:rsidRPr="004E4737" w:rsidRDefault="000E3317" w:rsidP="00B86362">
            <w:pPr>
              <w:spacing w:before="0" w:after="0"/>
              <w:rPr>
                <w:lang w:val="fr-FR"/>
              </w:rPr>
            </w:pPr>
            <w:r>
              <w:rPr>
                <w:lang w:val="fr-FR"/>
              </w:rPr>
              <w:t>Régulier  </w:t>
            </w:r>
          </w:p>
        </w:tc>
      </w:tr>
      <w:tr w:rsidR="00900B27" w:rsidRPr="00944032" w:rsidTr="00F21332">
        <w:trPr>
          <w:trHeight w:val="457"/>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B45102" w:rsidP="00B86362">
            <w:pPr>
              <w:spacing w:before="0" w:after="0"/>
              <w:rPr>
                <w:lang w:val="fr-FR"/>
              </w:rPr>
            </w:pPr>
            <w:r>
              <w:rPr>
                <w:lang w:val="fr-FR"/>
              </w:rPr>
              <w:t>01/2019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proofErr w:type="spellStart"/>
            <w:r w:rsidRPr="004E4737">
              <w:rPr>
                <w:lang w:val="fr-FR"/>
              </w:rPr>
              <w:t>Yolla</w:t>
            </w:r>
            <w:proofErr w:type="spellEnd"/>
            <w:r>
              <w:rPr>
                <w:lang w:val="fr-FR"/>
              </w:rPr>
              <w:t xml:space="preserve"> </w:t>
            </w:r>
            <w:proofErr w:type="spellStart"/>
            <w:r w:rsidRPr="004E4737">
              <w:rPr>
                <w:lang w:val="fr-FR"/>
              </w:rPr>
              <w:t>Zongre</w:t>
            </w:r>
            <w:proofErr w:type="spellEnd"/>
          </w:p>
        </w:tc>
        <w:tc>
          <w:tcPr>
            <w:tcW w:w="2552"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SG/ AOPT</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Association des Opérateurs Pétroliers du Tchad</w:t>
            </w:r>
            <w:r>
              <w:rPr>
                <w:lang w:val="fr-FR"/>
              </w:rPr>
              <w:t xml:space="preserve"> (</w:t>
            </w:r>
            <w:r w:rsidRPr="004E4737">
              <w:rPr>
                <w:lang w:val="fr-FR"/>
              </w:rPr>
              <w:t>ESSO)</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FFF2CC" w:themeFill="accent4" w:themeFillTint="33"/>
            <w:vAlign w:val="center"/>
          </w:tcPr>
          <w:p w:rsidR="00900B27" w:rsidRPr="004E4737" w:rsidRDefault="00B96BC8" w:rsidP="00033224">
            <w:pPr>
              <w:spacing w:before="0" w:after="0"/>
              <w:rPr>
                <w:lang w:val="fr-FR"/>
              </w:rPr>
            </w:pPr>
            <w:r>
              <w:rPr>
                <w:lang w:val="fr-FR"/>
              </w:rPr>
              <w:t xml:space="preserve">Régulier </w:t>
            </w:r>
            <w:r w:rsidR="004B2CBB">
              <w:rPr>
                <w:lang w:val="fr-FR"/>
              </w:rPr>
              <w:t xml:space="preserve">jusqu’à son décès </w:t>
            </w:r>
            <w:r w:rsidR="00900B27" w:rsidRPr="004E4737">
              <w:rPr>
                <w:lang w:val="fr-FR"/>
              </w:rPr>
              <w:t xml:space="preserve"> </w:t>
            </w:r>
          </w:p>
        </w:tc>
      </w:tr>
      <w:tr w:rsidR="00900B27" w:rsidRPr="004E4737" w:rsidTr="00F21332">
        <w:trPr>
          <w:trHeight w:val="81"/>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lastRenderedPageBreak/>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B45102" w:rsidP="00B86362">
            <w:pPr>
              <w:spacing w:before="0" w:after="0"/>
              <w:rPr>
                <w:lang w:val="fr-FR"/>
              </w:rPr>
            </w:pPr>
            <w:r>
              <w:rPr>
                <w:lang w:val="fr-FR"/>
              </w:rPr>
              <w:t>01/2019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proofErr w:type="spellStart"/>
            <w:r w:rsidRPr="004E4737">
              <w:rPr>
                <w:lang w:val="fr-FR"/>
              </w:rPr>
              <w:t>Ricelle</w:t>
            </w:r>
            <w:proofErr w:type="spellEnd"/>
            <w:r w:rsidRPr="004E4737">
              <w:rPr>
                <w:lang w:val="fr-FR"/>
              </w:rPr>
              <w:t xml:space="preserve"> Armande </w:t>
            </w:r>
            <w:proofErr w:type="spellStart"/>
            <w:r w:rsidRPr="004E4737">
              <w:rPr>
                <w:lang w:val="fr-FR"/>
              </w:rPr>
              <w:t>Tueguen</w:t>
            </w:r>
            <w:proofErr w:type="spellEnd"/>
          </w:p>
        </w:tc>
        <w:tc>
          <w:tcPr>
            <w:tcW w:w="2552" w:type="dxa"/>
            <w:shd w:val="clear" w:color="auto" w:fill="FFF2CC" w:themeFill="accent4" w:themeFillTint="33"/>
            <w:vAlign w:val="center"/>
          </w:tcPr>
          <w:p w:rsidR="00900B27" w:rsidRPr="004E4737" w:rsidRDefault="007301EA" w:rsidP="00B86362">
            <w:pPr>
              <w:spacing w:before="0" w:after="0"/>
              <w:rPr>
                <w:lang w:val="fr-FR"/>
              </w:rPr>
            </w:pPr>
            <w:r>
              <w:rPr>
                <w:lang w:val="fr-FR"/>
              </w:rPr>
              <w:t xml:space="preserve">Superviseur comptable </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 xml:space="preserve">United </w:t>
            </w:r>
            <w:proofErr w:type="spellStart"/>
            <w:r w:rsidRPr="004E4737">
              <w:rPr>
                <w:lang w:val="fr-FR"/>
              </w:rPr>
              <w:t>Hydrocarbon</w:t>
            </w:r>
            <w:proofErr w:type="spellEnd"/>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F</w:t>
            </w:r>
          </w:p>
        </w:tc>
        <w:tc>
          <w:tcPr>
            <w:tcW w:w="3871" w:type="dxa"/>
            <w:shd w:val="clear" w:color="auto" w:fill="FFF2CC" w:themeFill="accent4" w:themeFillTint="33"/>
            <w:vAlign w:val="center"/>
          </w:tcPr>
          <w:p w:rsidR="00900B27" w:rsidRPr="004E4737" w:rsidRDefault="00355AE5" w:rsidP="00B86362">
            <w:pPr>
              <w:spacing w:before="0" w:after="0"/>
              <w:rPr>
                <w:lang w:val="fr-FR"/>
              </w:rPr>
            </w:pPr>
            <w:r>
              <w:rPr>
                <w:lang w:val="fr-FR"/>
              </w:rPr>
              <w:t>Régulier  </w:t>
            </w:r>
          </w:p>
        </w:tc>
      </w:tr>
      <w:tr w:rsidR="00900B27" w:rsidRPr="004E4737" w:rsidTr="00F21332">
        <w:trPr>
          <w:trHeight w:val="81"/>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 xml:space="preserve">Oscar </w:t>
            </w:r>
            <w:proofErr w:type="spellStart"/>
            <w:r w:rsidRPr="004E4737">
              <w:rPr>
                <w:lang w:val="fr-FR"/>
              </w:rPr>
              <w:t>Deffosso</w:t>
            </w:r>
            <w:proofErr w:type="spellEnd"/>
          </w:p>
        </w:tc>
        <w:tc>
          <w:tcPr>
            <w:tcW w:w="2552" w:type="dxa"/>
            <w:shd w:val="clear" w:color="auto" w:fill="FFF2CC" w:themeFill="accent4" w:themeFillTint="33"/>
            <w:vAlign w:val="center"/>
          </w:tcPr>
          <w:p w:rsidR="00900B27" w:rsidRPr="004E4737" w:rsidRDefault="00E949ED" w:rsidP="00B86362">
            <w:pPr>
              <w:spacing w:before="0" w:after="0"/>
              <w:rPr>
                <w:lang w:val="fr-FR"/>
              </w:rPr>
            </w:pPr>
            <w:r>
              <w:rPr>
                <w:lang w:val="fr-FR"/>
              </w:rPr>
              <w:t>Directeur juridique et fiscal</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Consortium Glencore</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FFF2CC" w:themeFill="accent4" w:themeFillTint="33"/>
            <w:vAlign w:val="center"/>
          </w:tcPr>
          <w:p w:rsidR="00900B27" w:rsidRPr="004E4737" w:rsidRDefault="00900B27" w:rsidP="00355AE5">
            <w:pPr>
              <w:spacing w:before="0" w:after="0"/>
              <w:rPr>
                <w:lang w:val="fr-FR"/>
              </w:rPr>
            </w:pPr>
            <w:r w:rsidRPr="004E4737">
              <w:rPr>
                <w:lang w:val="fr-FR"/>
              </w:rPr>
              <w:t xml:space="preserve">Non </w:t>
            </w:r>
            <w:r w:rsidR="00355AE5">
              <w:rPr>
                <w:lang w:val="fr-FR"/>
              </w:rPr>
              <w:t>régulier</w:t>
            </w:r>
          </w:p>
        </w:tc>
      </w:tr>
      <w:tr w:rsidR="00900B27" w:rsidRPr="004E4737" w:rsidTr="00F21332">
        <w:trPr>
          <w:trHeight w:val="437"/>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DF4142" w:rsidP="00B86362">
            <w:pPr>
              <w:spacing w:before="0" w:after="0"/>
              <w:rPr>
                <w:lang w:val="fr-FR"/>
              </w:rPr>
            </w:pPr>
            <w:r>
              <w:rPr>
                <w:lang w:val="fr-FR"/>
              </w:rPr>
              <w:t>02/2019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proofErr w:type="spellStart"/>
            <w:r w:rsidRPr="004E4737">
              <w:rPr>
                <w:lang w:val="fr-FR"/>
              </w:rPr>
              <w:t>Laoudomaye</w:t>
            </w:r>
            <w:proofErr w:type="spellEnd"/>
            <w:r w:rsidRPr="004E4737">
              <w:rPr>
                <w:lang w:val="fr-FR"/>
              </w:rPr>
              <w:t xml:space="preserve"> Amigo</w:t>
            </w:r>
          </w:p>
        </w:tc>
        <w:tc>
          <w:tcPr>
            <w:tcW w:w="2552" w:type="dxa"/>
            <w:shd w:val="clear" w:color="auto" w:fill="FFF2CC" w:themeFill="accent4" w:themeFillTint="33"/>
            <w:vAlign w:val="center"/>
          </w:tcPr>
          <w:p w:rsidR="00900B27" w:rsidRPr="004E4737" w:rsidRDefault="00E949ED" w:rsidP="00B86362">
            <w:pPr>
              <w:spacing w:before="0" w:after="0"/>
              <w:rPr>
                <w:lang w:val="fr-FR"/>
              </w:rPr>
            </w:pPr>
            <w:r>
              <w:rPr>
                <w:lang w:val="fr-FR"/>
              </w:rPr>
              <w:t>Chef</w:t>
            </w:r>
            <w:r w:rsidR="00796A13">
              <w:rPr>
                <w:lang w:val="fr-FR"/>
              </w:rPr>
              <w:t xml:space="preserve"> de section</w:t>
            </w:r>
            <w:r>
              <w:rPr>
                <w:lang w:val="fr-FR"/>
              </w:rPr>
              <w:t xml:space="preserve"> </w:t>
            </w:r>
            <w:r w:rsidR="00796A13">
              <w:rPr>
                <w:lang w:val="fr-FR"/>
              </w:rPr>
              <w:t xml:space="preserve">comptabilité </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CNPCI</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FFF2CC" w:themeFill="accent4" w:themeFillTint="33"/>
            <w:vAlign w:val="center"/>
          </w:tcPr>
          <w:p w:rsidR="00900B27" w:rsidRPr="004E4737" w:rsidRDefault="00355AE5" w:rsidP="00B86362">
            <w:pPr>
              <w:spacing w:before="0" w:after="0"/>
              <w:rPr>
                <w:lang w:val="fr-FR"/>
              </w:rPr>
            </w:pPr>
            <w:r>
              <w:rPr>
                <w:lang w:val="fr-FR"/>
              </w:rPr>
              <w:t>Régulier  </w:t>
            </w:r>
          </w:p>
        </w:tc>
      </w:tr>
      <w:tr w:rsidR="00900B27" w:rsidRPr="003B03A5" w:rsidTr="00F21332">
        <w:trPr>
          <w:trHeight w:val="429"/>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2021</w:t>
            </w:r>
          </w:p>
        </w:tc>
        <w:tc>
          <w:tcPr>
            <w:tcW w:w="2551" w:type="dxa"/>
            <w:shd w:val="clear" w:color="auto" w:fill="FFF2CC" w:themeFill="accent4" w:themeFillTint="33"/>
            <w:vAlign w:val="center"/>
          </w:tcPr>
          <w:p w:rsidR="00900B27" w:rsidRPr="004E4737" w:rsidRDefault="00900B27" w:rsidP="00B86362">
            <w:pPr>
              <w:spacing w:before="0" w:after="0"/>
              <w:rPr>
                <w:lang w:val="fr-FR"/>
              </w:rPr>
            </w:pPr>
            <w:proofErr w:type="spellStart"/>
            <w:r w:rsidRPr="004E4737">
              <w:rPr>
                <w:lang w:val="fr-FR"/>
              </w:rPr>
              <w:t>Soumaine</w:t>
            </w:r>
            <w:proofErr w:type="spellEnd"/>
            <w:r>
              <w:rPr>
                <w:lang w:val="fr-FR"/>
              </w:rPr>
              <w:t xml:space="preserve"> </w:t>
            </w:r>
            <w:proofErr w:type="spellStart"/>
            <w:r w:rsidRPr="004E4737">
              <w:rPr>
                <w:lang w:val="fr-FR"/>
              </w:rPr>
              <w:t>Taguina</w:t>
            </w:r>
            <w:proofErr w:type="spellEnd"/>
          </w:p>
        </w:tc>
        <w:tc>
          <w:tcPr>
            <w:tcW w:w="2552" w:type="dxa"/>
            <w:shd w:val="clear" w:color="auto" w:fill="FFF2CC" w:themeFill="accent4" w:themeFillTint="33"/>
            <w:vAlign w:val="center"/>
          </w:tcPr>
          <w:p w:rsidR="00900B27" w:rsidRPr="004E4737" w:rsidRDefault="004B2CBB" w:rsidP="00B86362">
            <w:pPr>
              <w:spacing w:before="0" w:after="0"/>
              <w:rPr>
                <w:lang w:val="fr-FR"/>
              </w:rPr>
            </w:pPr>
            <w:r>
              <w:rPr>
                <w:lang w:val="fr-FR"/>
              </w:rPr>
              <w:t xml:space="preserve">Conseiller </w:t>
            </w:r>
            <w:r w:rsidR="00524D6D">
              <w:rPr>
                <w:lang w:val="fr-FR"/>
              </w:rPr>
              <w:t xml:space="preserve">technique </w:t>
            </w:r>
            <w:r>
              <w:rPr>
                <w:lang w:val="fr-FR"/>
              </w:rPr>
              <w:t>de DG SHT</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SHT</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 xml:space="preserve">M </w:t>
            </w:r>
          </w:p>
        </w:tc>
        <w:tc>
          <w:tcPr>
            <w:tcW w:w="3871" w:type="dxa"/>
            <w:shd w:val="clear" w:color="auto" w:fill="FFF2CC" w:themeFill="accent4" w:themeFillTint="33"/>
            <w:vAlign w:val="center"/>
          </w:tcPr>
          <w:p w:rsidR="00900B27" w:rsidRPr="004E4737" w:rsidRDefault="00900B27" w:rsidP="00995B3E">
            <w:pPr>
              <w:spacing w:before="0" w:after="0"/>
              <w:rPr>
                <w:lang w:val="fr-FR"/>
              </w:rPr>
            </w:pPr>
            <w:r w:rsidRPr="005240DE">
              <w:rPr>
                <w:sz w:val="16"/>
                <w:lang w:val="fr-FR"/>
              </w:rPr>
              <w:t xml:space="preserve">Nouveau dans la période examinée </w:t>
            </w:r>
          </w:p>
        </w:tc>
      </w:tr>
      <w:tr w:rsidR="00900B27" w:rsidRPr="004E4737" w:rsidTr="00F21332">
        <w:trPr>
          <w:trHeight w:val="407"/>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AF6DF6" w:rsidP="00B86362">
            <w:pPr>
              <w:spacing w:before="0" w:after="0"/>
              <w:rPr>
                <w:lang w:val="fr-FR"/>
              </w:rPr>
            </w:pPr>
            <w:r>
              <w:rPr>
                <w:lang w:val="fr-FR"/>
              </w:rPr>
              <w:t>11/2019</w:t>
            </w:r>
          </w:p>
        </w:tc>
        <w:tc>
          <w:tcPr>
            <w:tcW w:w="2551" w:type="dxa"/>
            <w:shd w:val="clear" w:color="auto" w:fill="FFF2CC" w:themeFill="accent4" w:themeFillTint="33"/>
            <w:vAlign w:val="center"/>
          </w:tcPr>
          <w:p w:rsidR="00900B27" w:rsidRPr="004E4737" w:rsidRDefault="00900B27" w:rsidP="00B86362">
            <w:pPr>
              <w:spacing w:before="0" w:after="0"/>
              <w:rPr>
                <w:lang w:val="fr-FR"/>
              </w:rPr>
            </w:pPr>
            <w:proofErr w:type="spellStart"/>
            <w:r w:rsidRPr="004E4737">
              <w:rPr>
                <w:lang w:val="fr-FR"/>
              </w:rPr>
              <w:t>Djimadoum</w:t>
            </w:r>
            <w:proofErr w:type="spellEnd"/>
            <w:r>
              <w:rPr>
                <w:lang w:val="fr-FR"/>
              </w:rPr>
              <w:t xml:space="preserve"> </w:t>
            </w:r>
            <w:proofErr w:type="spellStart"/>
            <w:r w:rsidR="00387CF5">
              <w:rPr>
                <w:lang w:val="fr-FR"/>
              </w:rPr>
              <w:t>Nam</w:t>
            </w:r>
            <w:r w:rsidRPr="004E4737">
              <w:rPr>
                <w:lang w:val="fr-FR"/>
              </w:rPr>
              <w:t>batingar</w:t>
            </w:r>
            <w:proofErr w:type="spellEnd"/>
          </w:p>
        </w:tc>
        <w:tc>
          <w:tcPr>
            <w:tcW w:w="2552" w:type="dxa"/>
            <w:shd w:val="clear" w:color="auto" w:fill="FFF2CC" w:themeFill="accent4" w:themeFillTint="33"/>
            <w:vAlign w:val="center"/>
          </w:tcPr>
          <w:p w:rsidR="00900B27" w:rsidRPr="004E4737" w:rsidRDefault="00667D0C" w:rsidP="00B86362">
            <w:pPr>
              <w:spacing w:before="0" w:after="0"/>
              <w:rPr>
                <w:lang w:val="fr-FR"/>
              </w:rPr>
            </w:pPr>
            <w:r>
              <w:rPr>
                <w:lang w:val="fr-FR"/>
              </w:rPr>
              <w:t>Directeur des recherches</w:t>
            </w:r>
          </w:p>
        </w:tc>
        <w:tc>
          <w:tcPr>
            <w:tcW w:w="2126" w:type="dxa"/>
            <w:shd w:val="clear" w:color="auto" w:fill="FFF2CC" w:themeFill="accent4" w:themeFillTint="33"/>
            <w:vAlign w:val="center"/>
          </w:tcPr>
          <w:p w:rsidR="00900B27" w:rsidRPr="004E4737" w:rsidRDefault="00AF6DF6" w:rsidP="00B86362">
            <w:pPr>
              <w:spacing w:before="0" w:after="0"/>
              <w:rPr>
                <w:lang w:val="fr-FR"/>
              </w:rPr>
            </w:pPr>
            <w:r>
              <w:rPr>
                <w:lang w:val="fr-FR"/>
              </w:rPr>
              <w:t>SONAMIG</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FFF2CC" w:themeFill="accent4" w:themeFillTint="33"/>
            <w:vAlign w:val="center"/>
          </w:tcPr>
          <w:p w:rsidR="00900B27" w:rsidRPr="004E4737" w:rsidRDefault="00355AE5" w:rsidP="00B86362">
            <w:pPr>
              <w:spacing w:before="0" w:after="0"/>
              <w:rPr>
                <w:lang w:val="fr-FR"/>
              </w:rPr>
            </w:pPr>
            <w:r>
              <w:rPr>
                <w:lang w:val="fr-FR"/>
              </w:rPr>
              <w:t>Régulier  </w:t>
            </w:r>
          </w:p>
        </w:tc>
      </w:tr>
      <w:tr w:rsidR="00900B27" w:rsidRPr="004E4737" w:rsidTr="00F21332">
        <w:trPr>
          <w:trHeight w:val="426"/>
          <w:jc w:val="center"/>
        </w:trPr>
        <w:tc>
          <w:tcPr>
            <w:tcW w:w="1702" w:type="dxa"/>
            <w:shd w:val="clear" w:color="auto" w:fill="FFF2CC" w:themeFill="accent4" w:themeFillTint="33"/>
            <w:vAlign w:val="center"/>
          </w:tcPr>
          <w:p w:rsidR="00900B27" w:rsidRPr="004E4737" w:rsidRDefault="00741A8E" w:rsidP="00B86362">
            <w:pPr>
              <w:spacing w:before="0" w:after="0"/>
              <w:rPr>
                <w:lang w:val="fr-FR"/>
              </w:rPr>
            </w:pPr>
            <w:r>
              <w:rPr>
                <w:lang w:val="fr-FR"/>
              </w:rPr>
              <w:t>Entreprise</w:t>
            </w:r>
          </w:p>
        </w:tc>
        <w:tc>
          <w:tcPr>
            <w:tcW w:w="1276" w:type="dxa"/>
            <w:shd w:val="clear" w:color="auto" w:fill="FFF2CC" w:themeFill="accent4" w:themeFillTint="33"/>
            <w:vAlign w:val="center"/>
          </w:tcPr>
          <w:p w:rsidR="00900B27" w:rsidRPr="004E4737" w:rsidRDefault="00900B27" w:rsidP="00B86362">
            <w:pPr>
              <w:spacing w:before="0" w:after="0"/>
              <w:rPr>
                <w:lang w:val="fr-FR"/>
              </w:rPr>
            </w:pPr>
          </w:p>
        </w:tc>
        <w:tc>
          <w:tcPr>
            <w:tcW w:w="1134" w:type="dxa"/>
            <w:shd w:val="clear" w:color="auto" w:fill="FFF2CC" w:themeFill="accent4" w:themeFillTint="33"/>
            <w:vAlign w:val="center"/>
          </w:tcPr>
          <w:p w:rsidR="00900B27" w:rsidRPr="004E4737" w:rsidRDefault="00900B27" w:rsidP="00B86362">
            <w:pPr>
              <w:spacing w:before="0" w:after="0"/>
              <w:rPr>
                <w:lang w:val="fr-FR"/>
              </w:rPr>
            </w:pPr>
            <w:r>
              <w:rPr>
                <w:lang w:val="fr-FR"/>
              </w:rPr>
              <w:t>08/</w:t>
            </w:r>
            <w:r w:rsidRPr="004E4737">
              <w:rPr>
                <w:lang w:val="fr-FR"/>
              </w:rPr>
              <w:t>2021</w:t>
            </w:r>
          </w:p>
        </w:tc>
        <w:tc>
          <w:tcPr>
            <w:tcW w:w="2551" w:type="dxa"/>
            <w:shd w:val="clear" w:color="auto" w:fill="FFF2CC" w:themeFill="accent4" w:themeFillTint="33"/>
            <w:vAlign w:val="center"/>
          </w:tcPr>
          <w:p w:rsidR="00900B27" w:rsidRPr="004E4737" w:rsidRDefault="00900B27" w:rsidP="00B86362">
            <w:pPr>
              <w:spacing w:before="0" w:after="0"/>
              <w:rPr>
                <w:lang w:val="fr-FR"/>
              </w:rPr>
            </w:pPr>
            <w:proofErr w:type="spellStart"/>
            <w:r w:rsidRPr="004E4737">
              <w:rPr>
                <w:lang w:val="fr-FR"/>
              </w:rPr>
              <w:t>Djadda</w:t>
            </w:r>
            <w:proofErr w:type="spellEnd"/>
            <w:r>
              <w:rPr>
                <w:lang w:val="fr-FR"/>
              </w:rPr>
              <w:t xml:space="preserve"> </w:t>
            </w:r>
            <w:proofErr w:type="spellStart"/>
            <w:r w:rsidRPr="004E4737">
              <w:rPr>
                <w:lang w:val="fr-FR"/>
              </w:rPr>
              <w:t>Abakar</w:t>
            </w:r>
            <w:proofErr w:type="spellEnd"/>
            <w:r w:rsidRPr="004E4737">
              <w:rPr>
                <w:lang w:val="fr-FR"/>
              </w:rPr>
              <w:t xml:space="preserve"> SIDICK</w:t>
            </w:r>
          </w:p>
        </w:tc>
        <w:tc>
          <w:tcPr>
            <w:tcW w:w="2552" w:type="dxa"/>
            <w:shd w:val="clear" w:color="auto" w:fill="FFF2CC" w:themeFill="accent4" w:themeFillTint="33"/>
            <w:vAlign w:val="center"/>
          </w:tcPr>
          <w:p w:rsidR="00900B27" w:rsidRPr="004E4737" w:rsidRDefault="004B2CBB" w:rsidP="00B86362">
            <w:pPr>
              <w:spacing w:before="0" w:after="0"/>
              <w:rPr>
                <w:lang w:val="fr-FR"/>
              </w:rPr>
            </w:pPr>
            <w:r>
              <w:rPr>
                <w:lang w:val="fr-FR"/>
              </w:rPr>
              <w:t>C</w:t>
            </w:r>
            <w:r w:rsidR="00723EED">
              <w:rPr>
                <w:lang w:val="fr-FR"/>
              </w:rPr>
              <w:t>hef c</w:t>
            </w:r>
            <w:r>
              <w:rPr>
                <w:lang w:val="fr-FR"/>
              </w:rPr>
              <w:t>omptable à la SOTEC</w:t>
            </w:r>
            <w:r w:rsidR="00524D6D">
              <w:rPr>
                <w:lang w:val="fr-FR"/>
              </w:rPr>
              <w:t>/DAF par intérim</w:t>
            </w:r>
          </w:p>
        </w:tc>
        <w:tc>
          <w:tcPr>
            <w:tcW w:w="2126"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SOTEC</w:t>
            </w:r>
          </w:p>
        </w:tc>
        <w:tc>
          <w:tcPr>
            <w:tcW w:w="794" w:type="dxa"/>
            <w:shd w:val="clear" w:color="auto" w:fill="FFF2CC" w:themeFill="accent4" w:themeFillTint="33"/>
            <w:vAlign w:val="center"/>
          </w:tcPr>
          <w:p w:rsidR="00900B27" w:rsidRPr="004E4737" w:rsidRDefault="00900B27" w:rsidP="00B86362">
            <w:pPr>
              <w:spacing w:before="0" w:after="0"/>
              <w:rPr>
                <w:lang w:val="fr-FR"/>
              </w:rPr>
            </w:pPr>
            <w:r w:rsidRPr="004E4737">
              <w:rPr>
                <w:lang w:val="fr-FR"/>
              </w:rPr>
              <w:t xml:space="preserve">M </w:t>
            </w:r>
          </w:p>
        </w:tc>
        <w:tc>
          <w:tcPr>
            <w:tcW w:w="3871" w:type="dxa"/>
            <w:shd w:val="clear" w:color="auto" w:fill="FFF2CC" w:themeFill="accent4" w:themeFillTint="33"/>
            <w:vAlign w:val="center"/>
          </w:tcPr>
          <w:p w:rsidR="00900B27" w:rsidRPr="004E4737" w:rsidRDefault="00355AE5" w:rsidP="00B86362">
            <w:pPr>
              <w:spacing w:before="0" w:after="0"/>
              <w:rPr>
                <w:lang w:val="fr-FR"/>
              </w:rPr>
            </w:pPr>
            <w:r>
              <w:rPr>
                <w:lang w:val="fr-FR"/>
              </w:rPr>
              <w:t>Régulier  </w:t>
            </w:r>
          </w:p>
        </w:tc>
      </w:tr>
      <w:tr w:rsidR="00900B27" w:rsidRPr="004E4737" w:rsidTr="00160104">
        <w:trPr>
          <w:trHeight w:val="81"/>
          <w:jc w:val="center"/>
        </w:trPr>
        <w:tc>
          <w:tcPr>
            <w:tcW w:w="1702" w:type="dxa"/>
            <w:shd w:val="clear" w:color="auto" w:fill="D0CECE" w:themeFill="background2" w:themeFillShade="E6"/>
            <w:vAlign w:val="center"/>
          </w:tcPr>
          <w:p w:rsidR="00900B27" w:rsidRPr="004E4737" w:rsidRDefault="00900B27" w:rsidP="00160104">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00B27" w:rsidRPr="004E4737" w:rsidRDefault="00900B27" w:rsidP="00B86362">
            <w:pPr>
              <w:spacing w:before="0" w:after="0"/>
              <w:rPr>
                <w:lang w:val="fr-FR"/>
              </w:rPr>
            </w:pPr>
          </w:p>
        </w:tc>
        <w:tc>
          <w:tcPr>
            <w:tcW w:w="1134" w:type="dxa"/>
            <w:shd w:val="clear" w:color="auto" w:fill="D0CECE" w:themeFill="background2" w:themeFillShade="E6"/>
            <w:vAlign w:val="center"/>
          </w:tcPr>
          <w:p w:rsidR="00900B27" w:rsidRPr="004E4737" w:rsidRDefault="00387CF5" w:rsidP="00B86362">
            <w:pPr>
              <w:spacing w:before="0" w:after="0"/>
              <w:rPr>
                <w:lang w:val="fr-FR"/>
              </w:rPr>
            </w:pPr>
            <w:r>
              <w:rPr>
                <w:lang w:val="fr-FR"/>
              </w:rPr>
              <w:t>01/2019</w:t>
            </w:r>
          </w:p>
        </w:tc>
        <w:tc>
          <w:tcPr>
            <w:tcW w:w="2551" w:type="dxa"/>
            <w:shd w:val="clear" w:color="auto" w:fill="D0CECE" w:themeFill="background2" w:themeFillShade="E6"/>
            <w:vAlign w:val="center"/>
          </w:tcPr>
          <w:p w:rsidR="00900B27" w:rsidRPr="004E4737" w:rsidRDefault="00900B27" w:rsidP="00B86362">
            <w:pPr>
              <w:spacing w:before="0" w:after="0"/>
              <w:rPr>
                <w:lang w:val="fr-FR"/>
              </w:rPr>
            </w:pPr>
            <w:r w:rsidRPr="004E4737">
              <w:rPr>
                <w:lang w:val="fr-FR"/>
              </w:rPr>
              <w:t xml:space="preserve">Me </w:t>
            </w:r>
            <w:proofErr w:type="spellStart"/>
            <w:r w:rsidRPr="004E4737">
              <w:rPr>
                <w:lang w:val="fr-FR"/>
              </w:rPr>
              <w:t>Bangah</w:t>
            </w:r>
            <w:proofErr w:type="spellEnd"/>
            <w:r>
              <w:rPr>
                <w:lang w:val="fr-FR"/>
              </w:rPr>
              <w:t xml:space="preserve"> </w:t>
            </w:r>
            <w:proofErr w:type="spellStart"/>
            <w:r w:rsidRPr="004E4737">
              <w:rPr>
                <w:lang w:val="fr-FR"/>
              </w:rPr>
              <w:t>Yengding</w:t>
            </w:r>
            <w:proofErr w:type="spellEnd"/>
            <w:r w:rsidRPr="004E4737">
              <w:rPr>
                <w:lang w:val="fr-FR"/>
              </w:rPr>
              <w:t xml:space="preserve"> Nathan</w:t>
            </w:r>
          </w:p>
        </w:tc>
        <w:tc>
          <w:tcPr>
            <w:tcW w:w="2552" w:type="dxa"/>
            <w:shd w:val="clear" w:color="auto" w:fill="D0CECE" w:themeFill="background2" w:themeFillShade="E6"/>
            <w:vAlign w:val="center"/>
          </w:tcPr>
          <w:p w:rsidR="00900B27" w:rsidRPr="004E4737" w:rsidRDefault="00900B27" w:rsidP="00B86362">
            <w:pPr>
              <w:spacing w:before="0" w:after="0"/>
              <w:rPr>
                <w:lang w:val="fr-FR"/>
              </w:rPr>
            </w:pPr>
          </w:p>
        </w:tc>
        <w:tc>
          <w:tcPr>
            <w:tcW w:w="2126" w:type="dxa"/>
            <w:shd w:val="clear" w:color="auto" w:fill="D0CECE" w:themeFill="background2" w:themeFillShade="E6"/>
            <w:vAlign w:val="center"/>
          </w:tcPr>
          <w:p w:rsidR="00900B27" w:rsidRPr="004E4737" w:rsidRDefault="00900B27" w:rsidP="00B86362">
            <w:pPr>
              <w:spacing w:before="0" w:after="0"/>
              <w:rPr>
                <w:lang w:val="fr-FR"/>
              </w:rPr>
            </w:pPr>
            <w:r w:rsidRPr="004E4737">
              <w:rPr>
                <w:lang w:val="fr-FR"/>
              </w:rPr>
              <w:t>UST</w:t>
            </w:r>
          </w:p>
        </w:tc>
        <w:tc>
          <w:tcPr>
            <w:tcW w:w="794" w:type="dxa"/>
            <w:shd w:val="clear" w:color="auto" w:fill="D0CECE" w:themeFill="background2" w:themeFillShade="E6"/>
            <w:vAlign w:val="center"/>
          </w:tcPr>
          <w:p w:rsidR="00900B27" w:rsidRPr="004E4737" w:rsidRDefault="00900B27" w:rsidP="00B86362">
            <w:pPr>
              <w:spacing w:before="0" w:after="0"/>
              <w:rPr>
                <w:lang w:val="fr-FR"/>
              </w:rPr>
            </w:pPr>
            <w:r w:rsidRPr="004E4737">
              <w:rPr>
                <w:lang w:val="fr-FR"/>
              </w:rPr>
              <w:t>M</w:t>
            </w:r>
          </w:p>
        </w:tc>
        <w:tc>
          <w:tcPr>
            <w:tcW w:w="3871" w:type="dxa"/>
            <w:shd w:val="clear" w:color="auto" w:fill="D0CECE" w:themeFill="background2" w:themeFillShade="E6"/>
            <w:vAlign w:val="center"/>
          </w:tcPr>
          <w:p w:rsidR="00900B27" w:rsidRPr="004E4737" w:rsidRDefault="00355AE5" w:rsidP="00B86362">
            <w:pPr>
              <w:spacing w:before="0" w:after="0"/>
              <w:rPr>
                <w:lang w:val="fr-FR"/>
              </w:rPr>
            </w:pPr>
            <w:r>
              <w:rPr>
                <w:lang w:val="fr-FR"/>
              </w:rPr>
              <w:t>Régulier  </w:t>
            </w:r>
          </w:p>
        </w:tc>
      </w:tr>
      <w:tr w:rsidR="009B2186" w:rsidRPr="00944032" w:rsidTr="00160104">
        <w:trPr>
          <w:trHeight w:val="469"/>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 xml:space="preserve">Frederick </w:t>
            </w:r>
            <w:proofErr w:type="spellStart"/>
            <w:r w:rsidRPr="004E4737">
              <w:rPr>
                <w:lang w:val="fr-FR"/>
              </w:rPr>
              <w:t>Brahidil</w:t>
            </w:r>
            <w:proofErr w:type="spellEnd"/>
            <w:r>
              <w:rPr>
                <w:lang w:val="fr-FR"/>
              </w:rPr>
              <w:t xml:space="preserve"> </w:t>
            </w:r>
            <w:proofErr w:type="spellStart"/>
            <w:r w:rsidRPr="004E4737">
              <w:rPr>
                <w:lang w:val="fr-FR"/>
              </w:rPr>
              <w:t>Deba</w:t>
            </w:r>
            <w:proofErr w:type="spellEnd"/>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APAD</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M</w:t>
            </w:r>
          </w:p>
        </w:tc>
        <w:tc>
          <w:tcPr>
            <w:tcW w:w="3871" w:type="dxa"/>
            <w:shd w:val="clear" w:color="auto" w:fill="D0CECE" w:themeFill="background2" w:themeFillShade="E6"/>
            <w:vAlign w:val="center"/>
          </w:tcPr>
          <w:p w:rsidR="009B2186" w:rsidRPr="004E4737" w:rsidRDefault="009B2186" w:rsidP="00A55AA6">
            <w:pPr>
              <w:spacing w:before="0" w:after="0"/>
              <w:rPr>
                <w:lang w:val="fr-FR"/>
              </w:rPr>
            </w:pPr>
            <w:r>
              <w:rPr>
                <w:lang w:val="fr-FR"/>
              </w:rPr>
              <w:t xml:space="preserve">Régulier jusqu’à son décès </w:t>
            </w:r>
            <w:r w:rsidRPr="004E4737">
              <w:rPr>
                <w:lang w:val="fr-FR"/>
              </w:rPr>
              <w:t xml:space="preserve"> </w:t>
            </w:r>
          </w:p>
        </w:tc>
      </w:tr>
      <w:tr w:rsidR="009B2186" w:rsidRPr="004E4737" w:rsidTr="00160104">
        <w:trPr>
          <w:trHeight w:val="81"/>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 xml:space="preserve">Clarisse </w:t>
            </w:r>
            <w:proofErr w:type="spellStart"/>
            <w:r w:rsidRPr="004E4737">
              <w:rPr>
                <w:lang w:val="fr-FR"/>
              </w:rPr>
              <w:t>Nehoudamadji</w:t>
            </w:r>
            <w:proofErr w:type="spellEnd"/>
            <w:r>
              <w:rPr>
                <w:lang w:val="fr-FR"/>
              </w:rPr>
              <w:t xml:space="preserve"> </w:t>
            </w:r>
            <w:proofErr w:type="spellStart"/>
            <w:r w:rsidRPr="004E4737">
              <w:rPr>
                <w:lang w:val="fr-FR"/>
              </w:rPr>
              <w:t>Nailar</w:t>
            </w:r>
            <w:proofErr w:type="spellEnd"/>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CELIAF</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F</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r w:rsidR="009B2186" w:rsidRPr="004E4737" w:rsidTr="00160104">
        <w:trPr>
          <w:trHeight w:val="469"/>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proofErr w:type="spellStart"/>
            <w:r w:rsidRPr="004E4737">
              <w:rPr>
                <w:lang w:val="fr-FR"/>
              </w:rPr>
              <w:t>Mekombe</w:t>
            </w:r>
            <w:proofErr w:type="spellEnd"/>
            <w:r>
              <w:rPr>
                <w:lang w:val="fr-FR"/>
              </w:rPr>
              <w:t xml:space="preserve"> </w:t>
            </w:r>
            <w:proofErr w:type="spellStart"/>
            <w:r w:rsidRPr="004E4737">
              <w:rPr>
                <w:lang w:val="fr-FR"/>
              </w:rPr>
              <w:t>Therese</w:t>
            </w:r>
            <w:proofErr w:type="spellEnd"/>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AFJT</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F</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r w:rsidR="009B2186" w:rsidRPr="004E4737" w:rsidTr="00160104">
        <w:trPr>
          <w:trHeight w:val="417"/>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proofErr w:type="spellStart"/>
            <w:r w:rsidRPr="004E4737">
              <w:rPr>
                <w:lang w:val="fr-FR"/>
              </w:rPr>
              <w:t>Nodjitoloum</w:t>
            </w:r>
            <w:proofErr w:type="spellEnd"/>
            <w:r w:rsidRPr="004E4737">
              <w:rPr>
                <w:lang w:val="fr-FR"/>
              </w:rPr>
              <w:t xml:space="preserve"> Salomon</w:t>
            </w:r>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ACAT</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M</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r w:rsidR="009B2186" w:rsidRPr="004E4737" w:rsidTr="00160104">
        <w:trPr>
          <w:trHeight w:val="448"/>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proofErr w:type="spellStart"/>
            <w:r w:rsidRPr="004E4737">
              <w:rPr>
                <w:lang w:val="fr-FR"/>
              </w:rPr>
              <w:t>Nadjirambaye</w:t>
            </w:r>
            <w:proofErr w:type="spellEnd"/>
            <w:r w:rsidRPr="004E4737">
              <w:rPr>
                <w:lang w:val="fr-FR"/>
              </w:rPr>
              <w:t xml:space="preserve"> Maxime </w:t>
            </w:r>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SWISSAID</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 xml:space="preserve">M </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r w:rsidR="009B2186" w:rsidRPr="004E4737" w:rsidTr="00160104">
        <w:trPr>
          <w:trHeight w:val="457"/>
          <w:jc w:val="center"/>
        </w:trPr>
        <w:tc>
          <w:tcPr>
            <w:tcW w:w="1702" w:type="dxa"/>
            <w:shd w:val="clear" w:color="auto" w:fill="D0CECE" w:themeFill="background2" w:themeFillShade="E6"/>
            <w:vAlign w:val="center"/>
          </w:tcPr>
          <w:p w:rsidR="009B2186" w:rsidRPr="004E4737" w:rsidRDefault="009B2186" w:rsidP="00845D5B">
            <w:pPr>
              <w:spacing w:before="0" w:after="0"/>
              <w:jc w:val="center"/>
              <w:rPr>
                <w:lang w:val="fr-FR"/>
              </w:rPr>
            </w:pPr>
            <w:r w:rsidRPr="004E4737">
              <w:rPr>
                <w:lang w:val="fr-FR"/>
              </w:rPr>
              <w:t>Société Civile</w:t>
            </w:r>
          </w:p>
        </w:tc>
        <w:tc>
          <w:tcPr>
            <w:tcW w:w="1276" w:type="dxa"/>
            <w:shd w:val="clear" w:color="auto" w:fill="D0CECE" w:themeFill="background2" w:themeFillShade="E6"/>
            <w:vAlign w:val="center"/>
          </w:tcPr>
          <w:p w:rsidR="009B2186" w:rsidRPr="004E4737" w:rsidRDefault="009B2186" w:rsidP="00B86362">
            <w:pPr>
              <w:spacing w:before="0" w:after="0"/>
              <w:rPr>
                <w:lang w:val="fr-FR"/>
              </w:rPr>
            </w:pPr>
          </w:p>
        </w:tc>
        <w:tc>
          <w:tcPr>
            <w:tcW w:w="1134" w:type="dxa"/>
            <w:shd w:val="clear" w:color="auto" w:fill="D0CECE" w:themeFill="background2" w:themeFillShade="E6"/>
            <w:vAlign w:val="center"/>
          </w:tcPr>
          <w:p w:rsidR="009B2186" w:rsidRPr="004E4737" w:rsidRDefault="009B2186" w:rsidP="00B86362">
            <w:pPr>
              <w:spacing w:before="0" w:after="0"/>
              <w:rPr>
                <w:lang w:val="fr-FR"/>
              </w:rPr>
            </w:pPr>
            <w:r>
              <w:rPr>
                <w:lang w:val="fr-FR"/>
              </w:rPr>
              <w:t>01/2019</w:t>
            </w:r>
          </w:p>
        </w:tc>
        <w:tc>
          <w:tcPr>
            <w:tcW w:w="2551" w:type="dxa"/>
            <w:shd w:val="clear" w:color="auto" w:fill="D0CECE" w:themeFill="background2" w:themeFillShade="E6"/>
            <w:vAlign w:val="center"/>
          </w:tcPr>
          <w:p w:rsidR="009B2186" w:rsidRPr="004E4737" w:rsidRDefault="009B2186" w:rsidP="00B86362">
            <w:pPr>
              <w:spacing w:before="0" w:after="0"/>
              <w:rPr>
                <w:lang w:val="fr-FR"/>
              </w:rPr>
            </w:pPr>
            <w:proofErr w:type="spellStart"/>
            <w:r w:rsidRPr="004E4737">
              <w:rPr>
                <w:lang w:val="fr-FR"/>
              </w:rPr>
              <w:t>Nadji</w:t>
            </w:r>
            <w:proofErr w:type="spellEnd"/>
            <w:r>
              <w:rPr>
                <w:lang w:val="fr-FR"/>
              </w:rPr>
              <w:t xml:space="preserve"> </w:t>
            </w:r>
            <w:proofErr w:type="spellStart"/>
            <w:r w:rsidRPr="004E4737">
              <w:rPr>
                <w:lang w:val="fr-FR"/>
              </w:rPr>
              <w:t>Nelambaye</w:t>
            </w:r>
            <w:proofErr w:type="spellEnd"/>
          </w:p>
        </w:tc>
        <w:tc>
          <w:tcPr>
            <w:tcW w:w="2552" w:type="dxa"/>
            <w:shd w:val="clear" w:color="auto" w:fill="D0CECE" w:themeFill="background2" w:themeFillShade="E6"/>
            <w:vAlign w:val="center"/>
          </w:tcPr>
          <w:p w:rsidR="009B2186" w:rsidRPr="004E4737" w:rsidRDefault="009B2186" w:rsidP="00B86362">
            <w:pPr>
              <w:spacing w:before="0" w:after="0"/>
              <w:rPr>
                <w:lang w:val="fr-FR"/>
              </w:rPr>
            </w:pPr>
          </w:p>
        </w:tc>
        <w:tc>
          <w:tcPr>
            <w:tcW w:w="2126"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CPPL</w:t>
            </w:r>
          </w:p>
        </w:tc>
        <w:tc>
          <w:tcPr>
            <w:tcW w:w="794" w:type="dxa"/>
            <w:shd w:val="clear" w:color="auto" w:fill="D0CECE" w:themeFill="background2" w:themeFillShade="E6"/>
            <w:vAlign w:val="center"/>
          </w:tcPr>
          <w:p w:rsidR="009B2186" w:rsidRPr="004E4737" w:rsidRDefault="009B2186" w:rsidP="00B86362">
            <w:pPr>
              <w:spacing w:before="0" w:after="0"/>
              <w:rPr>
                <w:lang w:val="fr-FR"/>
              </w:rPr>
            </w:pPr>
            <w:r w:rsidRPr="004E4737">
              <w:rPr>
                <w:lang w:val="fr-FR"/>
              </w:rPr>
              <w:t xml:space="preserve">M </w:t>
            </w:r>
          </w:p>
        </w:tc>
        <w:tc>
          <w:tcPr>
            <w:tcW w:w="3871" w:type="dxa"/>
            <w:shd w:val="clear" w:color="auto" w:fill="D0CECE" w:themeFill="background2" w:themeFillShade="E6"/>
            <w:vAlign w:val="center"/>
          </w:tcPr>
          <w:p w:rsidR="009B2186" w:rsidRPr="004E4737" w:rsidRDefault="009B2186" w:rsidP="00B86362">
            <w:pPr>
              <w:spacing w:before="0" w:after="0"/>
              <w:rPr>
                <w:lang w:val="fr-FR"/>
              </w:rPr>
            </w:pPr>
            <w:r>
              <w:rPr>
                <w:lang w:val="fr-FR"/>
              </w:rPr>
              <w:t>Régulier  </w:t>
            </w:r>
          </w:p>
        </w:tc>
      </w:tr>
    </w:tbl>
    <w:p w:rsidR="006F24F4" w:rsidRDefault="006F24F4" w:rsidP="0082284E">
      <w:pPr>
        <w:rPr>
          <w:b/>
          <w:bCs/>
          <w:i/>
          <w:iCs/>
          <w:lang w:val="fr-FR"/>
        </w:rPr>
      </w:pPr>
    </w:p>
    <w:p w:rsidR="006F24F4" w:rsidRDefault="006F24F4" w:rsidP="0082284E">
      <w:pPr>
        <w:rPr>
          <w:b/>
          <w:bCs/>
          <w:i/>
          <w:iCs/>
          <w:lang w:val="fr-FR"/>
        </w:rPr>
        <w:sectPr w:rsidR="006F24F4" w:rsidSect="006F24F4">
          <w:pgSz w:w="16840" w:h="11901" w:orient="landscape"/>
          <w:pgMar w:top="1418" w:right="1418" w:bottom="1411" w:left="1418" w:header="851" w:footer="113" w:gutter="0"/>
          <w:pgNumType w:start="1"/>
          <w:cols w:space="708"/>
          <w:titlePg/>
          <w:docGrid w:linePitch="326"/>
        </w:sectPr>
      </w:pPr>
    </w:p>
    <w:p w:rsidR="000C6B9C" w:rsidRPr="00D73390" w:rsidRDefault="000C6B9C" w:rsidP="00C627DF">
      <w:pPr>
        <w:rPr>
          <w:rFonts w:eastAsiaTheme="majorEastAsia" w:cstheme="majorBidi"/>
          <w:color w:val="2F5496" w:themeColor="accent1" w:themeShade="BF"/>
          <w:sz w:val="32"/>
          <w:szCs w:val="32"/>
          <w:highlight w:val="yellow"/>
          <w:lang w:val="fr-FR"/>
        </w:rPr>
      </w:pPr>
    </w:p>
    <w:sectPr w:rsidR="000C6B9C" w:rsidRPr="00D73390" w:rsidSect="006F24F4">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966" w:rsidRDefault="00300966" w:rsidP="00347D13">
      <w:r>
        <w:separator/>
      </w:r>
    </w:p>
  </w:endnote>
  <w:endnote w:type="continuationSeparator" w:id="0">
    <w:p w:rsidR="00300966" w:rsidRDefault="00300966"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Cond">
    <w:altName w:val="Segoe UI"/>
    <w:panose1 w:val="00000000000000000000"/>
    <w:charset w:val="00"/>
    <w:family w:val="swiss"/>
    <w:notTrueType/>
    <w:pitch w:val="variable"/>
    <w:sig w:usb0="A00002AF" w:usb1="5000204B" w:usb2="00000000" w:usb3="00000000" w:csb0="0000009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646055"/>
      <w:docPartObj>
        <w:docPartGallery w:val="Page Numbers (Bottom of Page)"/>
        <w:docPartUnique/>
      </w:docPartObj>
    </w:sdtPr>
    <w:sdtContent>
      <w:p w:rsidR="008515FF" w:rsidRDefault="008515FF">
        <w:pPr>
          <w:pStyle w:val="Pieddepage"/>
        </w:pPr>
        <w:r>
          <w:rPr>
            <w:noProof/>
            <w:lang w:val="fr-CA" w:eastAsia="fr-CA"/>
          </w:rPr>
          <mc:AlternateContent>
            <mc:Choice Requires="wps">
              <w:drawing>
                <wp:anchor distT="0" distB="0" distL="114300" distR="114300" simplePos="0" relativeHeight="251717120"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515FF" w:rsidRDefault="008515FF">
                              <w:pPr>
                                <w:jc w:val="center"/>
                              </w:pPr>
                              <w:r>
                                <w:rPr>
                                  <w:szCs w:val="22"/>
                                </w:rPr>
                                <w:fldChar w:fldCharType="begin"/>
                              </w:r>
                              <w:r>
                                <w:instrText>PAGE    \* MERGEFORMAT</w:instrText>
                              </w:r>
                              <w:r>
                                <w:rPr>
                                  <w:szCs w:val="22"/>
                                </w:rPr>
                                <w:fldChar w:fldCharType="separate"/>
                              </w:r>
                              <w:r w:rsidRPr="008515FF">
                                <w:rPr>
                                  <w:noProof/>
                                  <w:sz w:val="16"/>
                                  <w:szCs w:val="16"/>
                                  <w:lang w:val="fr-FR"/>
                                </w:rPr>
                                <w:t>10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8" type="#_x0000_t65" style="position:absolute;margin-left:0;margin-top:0;width:29pt;height:21.6pt;z-index:25171712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8515FF" w:rsidRDefault="008515FF">
                        <w:pPr>
                          <w:jc w:val="center"/>
                        </w:pPr>
                        <w:r>
                          <w:rPr>
                            <w:szCs w:val="22"/>
                          </w:rPr>
                          <w:fldChar w:fldCharType="begin"/>
                        </w:r>
                        <w:r>
                          <w:instrText>PAGE    \* MERGEFORMAT</w:instrText>
                        </w:r>
                        <w:r>
                          <w:rPr>
                            <w:szCs w:val="22"/>
                          </w:rPr>
                          <w:fldChar w:fldCharType="separate"/>
                        </w:r>
                        <w:r w:rsidRPr="008515FF">
                          <w:rPr>
                            <w:noProof/>
                            <w:sz w:val="16"/>
                            <w:szCs w:val="16"/>
                            <w:lang w:val="fr-FR"/>
                          </w:rPr>
                          <w:t>10</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1B" w:rsidRPr="00673135" w:rsidRDefault="009F411B" w:rsidP="00673135">
    <w:pPr>
      <w:pStyle w:val="Pieddepage"/>
    </w:pPr>
    <w:r>
      <w:rPr>
        <w:noProof/>
        <w:sz w:val="16"/>
        <w:szCs w:val="16"/>
        <w:lang w:val="fr-CA" w:eastAsia="fr-CA"/>
      </w:rPr>
      <mc:AlternateContent>
        <mc:Choice Requires="wps">
          <w:drawing>
            <wp:anchor distT="0" distB="0" distL="114300" distR="114300" simplePos="0" relativeHeight="251715072" behindDoc="0" locked="0" layoutInCell="1" allowOverlap="1">
              <wp:simplePos x="0" y="0"/>
              <wp:positionH relativeFrom="column">
                <wp:posOffset>-121285</wp:posOffset>
              </wp:positionH>
              <wp:positionV relativeFrom="paragraph">
                <wp:posOffset>-307340</wp:posOffset>
              </wp:positionV>
              <wp:extent cx="6023610" cy="811530"/>
              <wp:effectExtent l="0" t="0" r="0"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wps:spPr>
                    <wps:txbx>
                      <w:txbxContent>
                        <w:p w:rsidR="009F411B" w:rsidRPr="00382E14" w:rsidRDefault="009F411B" w:rsidP="00756FF7">
                          <w:pPr>
                            <w:rPr>
                              <w:sz w:val="16"/>
                              <w:szCs w:val="16"/>
                            </w:rPr>
                          </w:pPr>
                        </w:p>
                        <w:p w:rsidR="009F411B" w:rsidRPr="00382E14" w:rsidRDefault="009F411B"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" filled="f" stroked="f">
              <v:path arrowok="t"/>
              <v:textbox>
                <w:txbxContent>
                  <w:p w:rsidR="009F411B" w:rsidRPr="00382E14" w:rsidRDefault="009F411B" w:rsidP="00756FF7">
                    <w:pPr>
                      <w:rPr>
                        <w:sz w:val="16"/>
                        <w:szCs w:val="16"/>
                      </w:rPr>
                    </w:pPr>
                  </w:p>
                  <w:p w:rsidR="009F411B" w:rsidRPr="00382E14" w:rsidRDefault="009F411B" w:rsidP="00382E14">
                    <w:pPr>
                      <w:rPr>
                        <w:sz w:val="16"/>
                        <w:szCs w:val="16"/>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1B" w:rsidRPr="00004E42" w:rsidRDefault="009F411B" w:rsidP="00382E14">
    <w:pPr>
      <w:spacing w:line="276" w:lineRule="auto"/>
      <w:rPr>
        <w:sz w:val="16"/>
        <w:szCs w:val="16"/>
      </w:rPr>
    </w:pPr>
    <w:r>
      <w:rPr>
        <w:noProof/>
        <w:sz w:val="16"/>
        <w:szCs w:val="16"/>
        <w:lang w:val="fr-CA" w:eastAsia="fr-CA"/>
      </w:rPr>
      <mc:AlternateContent>
        <mc:Choice Requires="wps">
          <w:drawing>
            <wp:anchor distT="0" distB="0" distL="114300" distR="114300" simplePos="0" relativeHeight="251669504" behindDoc="0" locked="0" layoutInCell="1" allowOverlap="1">
              <wp:simplePos x="0" y="0"/>
              <wp:positionH relativeFrom="column">
                <wp:posOffset>-109220</wp:posOffset>
              </wp:positionH>
              <wp:positionV relativeFrom="paragraph">
                <wp:posOffset>-382270</wp:posOffset>
              </wp:positionV>
              <wp:extent cx="5958840" cy="739775"/>
              <wp:effectExtent l="0" t="0" r="0" b="317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75"/>
                      </a:xfrm>
                      <a:prstGeom prst="rect">
                        <a:avLst/>
                      </a:prstGeom>
                      <a:noFill/>
                      <a:ln>
                        <a:noFill/>
                      </a:ln>
                      <a:effectLst/>
                    </wps:spPr>
                    <wps:txbx>
                      <w:txbxContent>
                        <w:p w:rsidR="009F411B" w:rsidRPr="00544AAC" w:rsidRDefault="009F411B"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8515FF">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p>
                        <w:p w:rsidR="009F411B" w:rsidRDefault="009F411B" w:rsidP="00382E14"/>
                        <w:p w:rsidR="009F411B" w:rsidRDefault="009F41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" filled="f" stroked="f">
              <v:path arrowok="t"/>
              <v:textbox>
                <w:txbxContent>
                  <w:p w:rsidR="009F411B" w:rsidRPr="00544AAC" w:rsidRDefault="009F411B"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8515FF">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p>
                  <w:p w:rsidR="009F411B" w:rsidRDefault="009F411B" w:rsidP="00382E14"/>
                  <w:p w:rsidR="009F411B" w:rsidRDefault="009F411B"/>
                </w:txbxContent>
              </v:textbox>
            </v:shape>
          </w:pict>
        </mc:Fallback>
      </mc:AlternateContent>
    </w:r>
    <w:r>
      <w:rPr>
        <w:noProof/>
        <w:sz w:val="16"/>
        <w:szCs w:val="16"/>
        <w:lang w:val="fr-CA" w:eastAsia="fr-CA"/>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-316865</wp:posOffset>
              </wp:positionV>
              <wp:extent cx="6023610" cy="811530"/>
              <wp:effectExtent l="0" t="0" r="0"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wps:spPr>
                    <wps:txbx>
                      <w:txbxContent>
                        <w:p w:rsidR="009F411B" w:rsidRPr="00382E14" w:rsidRDefault="009F411B"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rFonts w:ascii="Wingdings" w:hAnsi="Wingdings"/>
                              <w:color w:val="000000"/>
                              <w:sz w:val="16"/>
                              <w:szCs w:val="16"/>
                            </w:rPr>
                            <w:t></w:t>
                          </w:r>
                          <w:r w:rsidRPr="00382E14">
                            <w:rPr>
                              <w:sz w:val="16"/>
                              <w:szCs w:val="16"/>
                            </w:rPr>
                            <w:t xml:space="preserve">E-mail: </w:t>
                          </w:r>
                          <w:proofErr w:type="spellStart"/>
                          <w:r w:rsidRPr="00382E14">
                            <w:rPr>
                              <w:sz w:val="16"/>
                              <w:szCs w:val="16"/>
                            </w:rPr>
                            <w:t>secretariat@eiti.org</w:t>
                          </w:r>
                          <w:r w:rsidRPr="00382E14">
                            <w:rPr>
                              <w:rFonts w:ascii="Wingdings" w:hAnsi="Wingdings"/>
                              <w:color w:val="000000"/>
                              <w:sz w:val="16"/>
                              <w:szCs w:val="16"/>
                            </w:rPr>
                            <w:t></w:t>
                          </w:r>
                          <w:r w:rsidRPr="00382E14">
                            <w:rPr>
                              <w:sz w:val="16"/>
                              <w:szCs w:val="16"/>
                            </w:rPr>
                            <w:t>Twitter</w:t>
                          </w:r>
                          <w:proofErr w:type="spellEnd"/>
                          <w:r w:rsidRPr="00382E14">
                            <w:rPr>
                              <w:sz w:val="16"/>
                              <w:szCs w:val="16"/>
                            </w:rPr>
                            <w:t>: @</w:t>
                          </w:r>
                          <w:proofErr w:type="spellStart"/>
                          <w:r w:rsidRPr="00382E14">
                            <w:rPr>
                              <w:sz w:val="16"/>
                              <w:szCs w:val="16"/>
                            </w:rPr>
                            <w:t>EITIorg</w:t>
                          </w:r>
                          <w:proofErr w:type="spellEnd"/>
                        </w:p>
                        <w:p w:rsidR="009F411B" w:rsidRPr="00382E14" w:rsidRDefault="009F411B" w:rsidP="00382E14">
                          <w:pPr>
                            <w:spacing w:before="0" w:after="0" w:line="276" w:lineRule="auto"/>
                            <w:ind w:right="-12"/>
                            <w:rPr>
                              <w:sz w:val="16"/>
                              <w:szCs w:val="16"/>
                            </w:rPr>
                          </w:pPr>
                          <w:proofErr w:type="spellStart"/>
                          <w:r w:rsidRPr="00382E14">
                            <w:rPr>
                              <w:sz w:val="16"/>
                              <w:szCs w:val="16"/>
                            </w:rPr>
                            <w:t>Address</w:t>
                          </w:r>
                          <w:proofErr w:type="gramStart"/>
                          <w:r w:rsidRPr="00382E14">
                            <w:rPr>
                              <w:sz w:val="16"/>
                              <w:szCs w:val="16"/>
                            </w:rPr>
                            <w:t>:Rådhusgata</w:t>
                          </w:r>
                          <w:proofErr w:type="spellEnd"/>
                          <w:proofErr w:type="gramEnd"/>
                          <w:r w:rsidRPr="00382E14">
                            <w:rPr>
                              <w:sz w:val="16"/>
                              <w:szCs w:val="16"/>
                            </w:rPr>
                            <w:t xml:space="preserve"> 26, 0151 Oslo, Norway</w:t>
                          </w:r>
                          <w:r w:rsidRPr="00382E14">
                            <w:rPr>
                              <w:rFonts w:ascii="Wingdings" w:hAnsi="Wingdings"/>
                              <w:color w:val="000000"/>
                              <w:sz w:val="16"/>
                              <w:szCs w:val="16"/>
                            </w:rPr>
                            <w:t></w:t>
                          </w:r>
                          <w:r w:rsidRPr="00382E14">
                            <w:rPr>
                              <w:sz w:val="16"/>
                              <w:szCs w:val="16"/>
                            </w:rPr>
                            <w:t xml:space="preserve">www.eiti.org       </w:t>
                          </w:r>
                        </w:p>
                        <w:p w:rsidR="009F411B" w:rsidRPr="00382E14" w:rsidRDefault="009F411B"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" filled="f" stroked="f">
              <v:path arrowok="t"/>
              <v:textbox>
                <w:txbxContent>
                  <w:p w:rsidR="009F411B" w:rsidRPr="00382E14" w:rsidRDefault="009F411B"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rFonts w:ascii="Wingdings" w:hAnsi="Wingdings"/>
                        <w:color w:val="000000"/>
                        <w:sz w:val="16"/>
                        <w:szCs w:val="16"/>
                      </w:rPr>
                      <w:t></w:t>
                    </w:r>
                    <w:r w:rsidRPr="00382E14">
                      <w:rPr>
                        <w:sz w:val="16"/>
                        <w:szCs w:val="16"/>
                      </w:rPr>
                      <w:t xml:space="preserve">E-mail: </w:t>
                    </w:r>
                    <w:proofErr w:type="spellStart"/>
                    <w:r w:rsidRPr="00382E14">
                      <w:rPr>
                        <w:sz w:val="16"/>
                        <w:szCs w:val="16"/>
                      </w:rPr>
                      <w:t>secretariat@eiti.org</w:t>
                    </w:r>
                    <w:r w:rsidRPr="00382E14">
                      <w:rPr>
                        <w:rFonts w:ascii="Wingdings" w:hAnsi="Wingdings"/>
                        <w:color w:val="000000"/>
                        <w:sz w:val="16"/>
                        <w:szCs w:val="16"/>
                      </w:rPr>
                      <w:t></w:t>
                    </w:r>
                    <w:r w:rsidRPr="00382E14">
                      <w:rPr>
                        <w:sz w:val="16"/>
                        <w:szCs w:val="16"/>
                      </w:rPr>
                      <w:t>Twitter</w:t>
                    </w:r>
                    <w:proofErr w:type="spellEnd"/>
                    <w:r w:rsidRPr="00382E14">
                      <w:rPr>
                        <w:sz w:val="16"/>
                        <w:szCs w:val="16"/>
                      </w:rPr>
                      <w:t>: @</w:t>
                    </w:r>
                    <w:proofErr w:type="spellStart"/>
                    <w:r w:rsidRPr="00382E14">
                      <w:rPr>
                        <w:sz w:val="16"/>
                        <w:szCs w:val="16"/>
                      </w:rPr>
                      <w:t>EITIorg</w:t>
                    </w:r>
                    <w:proofErr w:type="spellEnd"/>
                  </w:p>
                  <w:p w:rsidR="009F411B" w:rsidRPr="00382E14" w:rsidRDefault="009F411B" w:rsidP="00382E14">
                    <w:pPr>
                      <w:spacing w:before="0" w:after="0" w:line="276" w:lineRule="auto"/>
                      <w:ind w:right="-12"/>
                      <w:rPr>
                        <w:sz w:val="16"/>
                        <w:szCs w:val="16"/>
                      </w:rPr>
                    </w:pPr>
                    <w:proofErr w:type="spellStart"/>
                    <w:r w:rsidRPr="00382E14">
                      <w:rPr>
                        <w:sz w:val="16"/>
                        <w:szCs w:val="16"/>
                      </w:rPr>
                      <w:t>Address</w:t>
                    </w:r>
                    <w:proofErr w:type="gramStart"/>
                    <w:r w:rsidRPr="00382E14">
                      <w:rPr>
                        <w:sz w:val="16"/>
                        <w:szCs w:val="16"/>
                      </w:rPr>
                      <w:t>:Rådhusgata</w:t>
                    </w:r>
                    <w:proofErr w:type="spellEnd"/>
                    <w:proofErr w:type="gramEnd"/>
                    <w:r w:rsidRPr="00382E14">
                      <w:rPr>
                        <w:sz w:val="16"/>
                        <w:szCs w:val="16"/>
                      </w:rPr>
                      <w:t xml:space="preserve"> 26, 0151 Oslo, Norway</w:t>
                    </w:r>
                    <w:r w:rsidRPr="00382E14">
                      <w:rPr>
                        <w:rFonts w:ascii="Wingdings" w:hAnsi="Wingdings"/>
                        <w:color w:val="000000"/>
                        <w:sz w:val="16"/>
                        <w:szCs w:val="16"/>
                      </w:rPr>
                      <w:t></w:t>
                    </w:r>
                    <w:r w:rsidRPr="00382E14">
                      <w:rPr>
                        <w:sz w:val="16"/>
                        <w:szCs w:val="16"/>
                      </w:rPr>
                      <w:t xml:space="preserve">www.eiti.org       </w:t>
                    </w:r>
                  </w:p>
                  <w:p w:rsidR="009F411B" w:rsidRPr="00382E14" w:rsidRDefault="009F411B" w:rsidP="00382E14">
                    <w:pPr>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966" w:rsidRDefault="00300966" w:rsidP="00347D13">
      <w:r>
        <w:separator/>
      </w:r>
    </w:p>
  </w:footnote>
  <w:footnote w:type="continuationSeparator" w:id="0">
    <w:p w:rsidR="00300966" w:rsidRDefault="00300966" w:rsidP="00347D13">
      <w:r>
        <w:continuationSeparator/>
      </w:r>
    </w:p>
  </w:footnote>
  <w:footnote w:id="1">
    <w:p w:rsidR="009F411B" w:rsidRPr="00C627DF" w:rsidRDefault="009F411B" w:rsidP="00C627DF">
      <w:pPr>
        <w:spacing w:after="0"/>
        <w:rPr>
          <w:lang w:val="fr-CA"/>
        </w:rPr>
      </w:pPr>
      <w:r w:rsidRPr="00C627DF">
        <w:rPr>
          <w:lang w:val="fr-CA"/>
        </w:rPr>
        <w:t xml:space="preserve"> Figure </w:t>
      </w:r>
      <w:r>
        <w:fldChar w:fldCharType="begin"/>
      </w:r>
      <w:r w:rsidRPr="00C627DF">
        <w:rPr>
          <w:lang w:val="fr-CA"/>
        </w:rPr>
        <w:instrText xml:space="preserve"> SEQ Figure \* ARABIC </w:instrText>
      </w:r>
      <w:r>
        <w:fldChar w:fldCharType="separate"/>
      </w:r>
      <w:r w:rsidRPr="00C627DF">
        <w:rPr>
          <w:noProof/>
          <w:lang w:val="fr-CA"/>
        </w:rPr>
        <w:t>1</w:t>
      </w:r>
      <w:r>
        <w:rPr>
          <w:noProof/>
        </w:rPr>
        <w:fldChar w:fldCharType="end"/>
      </w:r>
      <w:r w:rsidRPr="00C627DF">
        <w:rPr>
          <w:lang w:val="fr-CA"/>
        </w:rPr>
        <w:t>- Tableau de l’évaluation initiale</w:t>
      </w:r>
    </w:p>
    <w:p w:rsidR="009F411B" w:rsidRPr="00C627DF" w:rsidRDefault="009F411B" w:rsidP="00C627DF">
      <w:pPr>
        <w:spacing w:after="0"/>
        <w:rPr>
          <w:lang w:val="fr-CA"/>
        </w:rPr>
      </w:pPr>
      <w:r w:rsidRPr="00C627DF">
        <w:rPr>
          <w:lang w:val="fr-CA"/>
        </w:rPr>
        <w:t>Figure 2 - L’historique de l’ITIE –Tchad depuis sa mise en œuvre</w:t>
      </w:r>
    </w:p>
    <w:p w:rsidR="009F411B" w:rsidRPr="00C627DF" w:rsidRDefault="009F411B" w:rsidP="00C627DF">
      <w:pPr>
        <w:spacing w:after="0"/>
        <w:rPr>
          <w:rFonts w:eastAsia="Calibri"/>
          <w:lang w:val="fr-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1B" w:rsidRPr="00B108FA" w:rsidRDefault="009F411B" w:rsidP="00942A25">
    <w:pPr>
      <w:pStyle w:val="HeaderDate"/>
    </w:pPr>
    <w:r>
      <w:rPr>
        <w:lang w:eastAsia="ja-JP"/>
      </w:rPr>
      <w:br/>
    </w:r>
    <w:r>
      <w:rPr>
        <w:rFonts w:ascii="Arial" w:hAnsi="Arial"/>
        <w:color w:val="FF0000"/>
        <w:sz w:val="21"/>
        <w:szCs w:val="2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1B" w:rsidRPr="006867A1" w:rsidRDefault="009F411B" w:rsidP="00C627DF">
    <w:pPr>
      <w:pStyle w:val="Style1"/>
      <w:jc w:val="center"/>
    </w:pPr>
  </w:p>
  <w:p w:rsidR="009F411B" w:rsidRPr="00664C86" w:rsidRDefault="009F411B" w:rsidP="006867A1">
    <w:pPr>
      <w:tabs>
        <w:tab w:val="right" w:pos="9498"/>
      </w:tabs>
      <w:rPr>
        <w:rFonts w:ascii="Franklin Gothic Medium" w:hAnsi="Franklin Gothic Medium"/>
      </w:rPr>
    </w:pPr>
    <w:r>
      <w:rPr>
        <w:noProof/>
        <w:lang w:val="fr-CA" w:eastAsia="fr-CA"/>
      </w:rPr>
      <mc:AlternateContent>
        <mc:Choice Requires="wpg">
          <w:drawing>
            <wp:anchor distT="0" distB="0" distL="114300" distR="114300" simplePos="0" relativeHeight="251652096" behindDoc="0" locked="0" layoutInCell="1" allowOverlap="1">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F3D81"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vbsQA&#10;AADbAAAADwAAAGRycy9kb3ducmV2LnhtbESPT2vCQBTE7wW/w/IEL0U3WioxdRURpYWe/IPnR/Y1&#10;iWbfht3VRD+9Wyj0OMzMb5j5sjO1uJHzlWUF41ECgji3uuJCwfGwHaYgfEDWWFsmBXfysFz0XuaY&#10;advyjm77UIgIYZ+hgjKEJpPS5yUZ9CPbEEfvxzqDIUpXSO2wjXBTy0mSTKXBiuNCiQ2tS8ov+6tR&#10;cE43n26Wvt9f23V9evAlyb95o9Sg360+QATqwn/4r/2lFbyN4fd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8727EAAAA2wAAAA8AAAAAAAAAAAAAAAAAmAIAAGRycy9k&#10;b3ducmV2LnhtbFBLBQYAAAAABAAEAPUAAACJAwAAAAA=&#10;" fillcolor="#31aed6" stroked="f">
                <v:path arrowok="t"/>
              </v:rect>
              <v:rect id="Rectangle 1" o:spid="_x0000_s1028" style="position:absolute;left:1646;top:1909;width:2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MOcUA&#10;AADbAAAADwAAAGRycy9kb3ducmV2LnhtbESP0WrCQBRE3wv+w3KFvhTdVIvG1E0oQqnQJ9N+wDV7&#10;m4Rk74bdVaNf3xUKfRxm5gyzLUbTizM531pW8DxPQBBXVrdcK/j+ep+lIHxA1thbJgVX8lDkk4ct&#10;Ztpe+EDnMtQiQthnqKAJYcik9FVDBv3cDsTR+7HOYIjS1VI7vES46eUiSVbSYMtxocGBdg1VXXky&#10;CjYyPa136bJ6abunj8737nYMn0o9Tse3VxCBxvAf/mvvtYLlAu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gw5xQAAANsAAAAPAAAAAAAAAAAAAAAAAJgCAABkcnMv&#10;ZG93bnJldi54bWxQSwUGAAAAAAQABAD1AAAAigMAAAAA&#10;" fillcolor="#184065" stroked="f">
                <v:path arrowok="t"/>
              </v:rect>
              <v:rect id="Rectangle 1" o:spid="_x0000_s1029" style="position:absolute;left:1832;top:1909;width:266;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UgsQA&#10;AADbAAAADwAAAGRycy9kb3ducmV2LnhtbESPT2vCQBTE70K/w/IKXopuVJSYukoRSwue/IPnR/Y1&#10;Sc2+DburiX56t1DwOMzMb5jFqjO1uJLzlWUFo2ECgji3uuJCwfHwOUhB+ICssbZMCm7kYbV86S0w&#10;07blHV33oRARwj5DBWUITSalz0sy6Ie2IY7ej3UGQ5SukNphG+GmluMkmUmDFceFEhtal5Sf9xej&#10;4DfdfLl5Or29tev6dOdzkm95o1T/tft4BxGoC8/wf/tbK5hM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i1ILEAAAA2wAAAA8AAAAAAAAAAAAAAAAAmAIAAGRycy9k&#10;b3ducmV2LnhtbFBLBQYAAAAABAAEAPUAAACJAwAAAAA=&#10;" fillcolor="#31aed6" stroked="f">
                <v:path arrowok="t"/>
              </v:rect>
              <v:rect id="Rectangle 1" o:spid="_x0000_s1030" style="position:absolute;left:2220;top:1909;width:53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pbcQA&#10;AADbAAAADwAAAGRycy9kb3ducmV2LnhtbESPQWvCQBSE74L/YXkFL6VuVCxp6ioiioInben5kX1N&#10;UrNvw+5qor/eFQoeh5n5hpktOlOLCzlfWVYwGiYgiHOrKy4UfH9t3lIQPiBrrC2Tgit5WMz7vRlm&#10;2rZ8oMsxFCJC2GeooAyhyaT0eUkG/dA2xNH7tc5giNIVUjtsI9zUcpwk79JgxXGhxIZWJeWn49ko&#10;+EvXW/eRTq+v7ar+ufEpyfe8Vmrw0i0/QQTqwjP8395pBZMpPL7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6W3EAAAA2wAAAA8AAAAAAAAAAAAAAAAAmAIAAGRycy9k&#10;b3ducmV2LnhtbFBLBQYAAAAABAAEAPUAAACJAwAAAAA=&#10;" fillcolor="#31aed6" stroked="f">
                <v:path arrowok="t"/>
              </v:rect>
              <v:rect id="Rectangle 1" o:spid="_x0000_s1031" style="position:absolute;left:2030;top:1909;width:190;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hM8QA&#10;AADbAAAADwAAAGRycy9kb3ducmV2LnhtbESP0WrCQBRE3wv+w3IFX4rZWKWmMasUQRT6VNsPuM1e&#10;k5Ds3bC7avTr3UKhj8PMnGGKzWA6cSHnG8sKZkkKgri0uuFKwffXbpqB8AFZY2eZFNzIw2Y9eiow&#10;1/bKn3Q5hkpECPscFdQh9LmUvqzJoE9sTxy9k3UGQ5SuktrhNcJNJ1/S9FUabDgu1NjTtqayPZ6N&#10;gjeZnZfbbF4umvZ53/rO3X/Ch1KT8fC+AhFoCP/hv/ZBK1jM4P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G4TPEAAAA2wAAAA8AAAAAAAAAAAAAAAAAmAIAAGRycy9k&#10;b3ducmV2LnhtbFBLBQYAAAAABAAEAPUAAACJAwAAAAA=&#10;" fillcolor="#184065" stroked="f">
                <v:path arrowok="t"/>
              </v:rect>
              <v:rect id="Rectangle 1" o:spid="_x0000_s1032" style="position:absolute;left:2714;top:1909;width:32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RMQA&#10;AADbAAAADwAAAGRycy9kb3ducmV2LnhtbESP3WrCQBSE7wXfYTmCN0U3/lDT6CoiiEKvqj7AafaY&#10;hGTPht1V0z69Wyh4OczMN8xq05lG3Mn5yrKCyTgBQZxbXXGh4HLej1IQPiBrbCyTgh/ysFn3eyvM&#10;tH3wF91PoRARwj5DBWUIbSalz0sy6Me2JY7e1TqDIUpXSO3wEeGmkdMkeZcGK44LJba0KymvTzej&#10;4EOmt8UuneXzqn471L5xv9/hU6nhoNsuQQTqwiv83z5qBfMp/H2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Uf0TEAAAA2wAAAA8AAAAAAAAAAAAAAAAAmAIAAGRycy9k&#10;b3ducmV2LnhtbFBLBQYAAAAABAAEAPUAAACJAwAAAAA=&#10;" fillcolor="#184065" stroked="f">
                <v:path arrowok="t"/>
              </v:rect>
              <v:rect id="Rectangle 1" o:spid="_x0000_s1033" style="position:absolute;left:3093;top:1909;width:7587;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a38QA&#10;AADbAAAADwAAAGRycy9kb3ducmV2LnhtbESP3WrCQBSE74W+w3IK3hTd+ENNo6uIUBR61egDnGaP&#10;SUj2bNhdNfXp3ULBy2FmvmFWm9604krO15YVTMYJCOLC6ppLBafj5ygF4QOyxtYyKfglD5v1y2CF&#10;mbY3/qZrHkoRIewzVFCF0GVS+qIig35sO+Lona0zGKJ0pdQObxFuWjlNkndpsOa4UGFHu4qKJr8Y&#10;BR8yvSx26ayY183bvvGtu/+EL6WGr/12CSJQH57h//ZBK5j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Y2t/EAAAA2wAAAA8AAAAAAAAAAAAAAAAAmAIAAGRycy9k&#10;b3ducmV2LnhtbFBLBQYAAAAABAAEAPUAAACJAwAAAAA=&#10;" fillcolor="#184065" stroked="f">
                <v:path arrowok="t"/>
              </v:rect>
              <v:rect id="Rectangle 1" o:spid="_x0000_s1034" style="position:absolute;left:2908;top:1909;width:195;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0/i8QA&#10;AADbAAAADwAAAGRycy9kb3ducmV2LnhtbESPT2vCQBTE70K/w/IKXopuFJWYukoRSwue/IPnR/Y1&#10;Sc2+DburiX56t1DwOMzMb5jFqjO1uJLzlWUFo2ECgji3uuJCwfHwOUhB+ICssbZMCm7kYbV86S0w&#10;07blHV33oRARwj5DBWUITSalz0sy6Ie2IY7ej3UGQ5SukNphG+GmluMkmUmDFceFEhtal5Sf9xej&#10;4DfdfLl5Or29tev6dOdzkm95o1T/tft4BxGoC8/wf/tbK5hM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NP4vEAAAA2wAAAA8AAAAAAAAAAAAAAAAAmAIAAGRycy9k&#10;b3ducmV2LnhtbFBLBQYAAAAABAAEAPUAAACJAwAAAAA=&#10;" fillcolor="#31aed6" stroked="f">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5190"/>
    <w:multiLevelType w:val="hybridMultilevel"/>
    <w:tmpl w:val="0DC6C10C"/>
    <w:lvl w:ilvl="0" w:tplc="8AB23EDC">
      <w:start w:val="1"/>
      <w:numFmt w:val="upperLetter"/>
      <w:lvlText w:val="%1)"/>
      <w:lvlJc w:val="left"/>
      <w:pPr>
        <w:ind w:left="1352" w:hanging="360"/>
      </w:pPr>
      <w:rPr>
        <w:rFonts w:ascii="Arial" w:eastAsiaTheme="minorEastAsia" w:hAnsi="Arial" w:cs="Arial"/>
        <w:color w:val="auto"/>
      </w:rPr>
    </w:lvl>
    <w:lvl w:ilvl="1" w:tplc="0C0C0019" w:tentative="1">
      <w:start w:val="1"/>
      <w:numFmt w:val="lowerLetter"/>
      <w:lvlText w:val="%2."/>
      <w:lvlJc w:val="left"/>
      <w:pPr>
        <w:ind w:left="2072" w:hanging="360"/>
      </w:pPr>
    </w:lvl>
    <w:lvl w:ilvl="2" w:tplc="0C0C001B" w:tentative="1">
      <w:start w:val="1"/>
      <w:numFmt w:val="lowerRoman"/>
      <w:lvlText w:val="%3."/>
      <w:lvlJc w:val="right"/>
      <w:pPr>
        <w:ind w:left="2792" w:hanging="180"/>
      </w:pPr>
    </w:lvl>
    <w:lvl w:ilvl="3" w:tplc="0C0C000F" w:tentative="1">
      <w:start w:val="1"/>
      <w:numFmt w:val="decimal"/>
      <w:lvlText w:val="%4."/>
      <w:lvlJc w:val="left"/>
      <w:pPr>
        <w:ind w:left="3512" w:hanging="360"/>
      </w:pPr>
    </w:lvl>
    <w:lvl w:ilvl="4" w:tplc="0C0C0019" w:tentative="1">
      <w:start w:val="1"/>
      <w:numFmt w:val="lowerLetter"/>
      <w:lvlText w:val="%5."/>
      <w:lvlJc w:val="left"/>
      <w:pPr>
        <w:ind w:left="4232" w:hanging="360"/>
      </w:pPr>
    </w:lvl>
    <w:lvl w:ilvl="5" w:tplc="0C0C001B" w:tentative="1">
      <w:start w:val="1"/>
      <w:numFmt w:val="lowerRoman"/>
      <w:lvlText w:val="%6."/>
      <w:lvlJc w:val="right"/>
      <w:pPr>
        <w:ind w:left="4952" w:hanging="180"/>
      </w:pPr>
    </w:lvl>
    <w:lvl w:ilvl="6" w:tplc="0C0C000F" w:tentative="1">
      <w:start w:val="1"/>
      <w:numFmt w:val="decimal"/>
      <w:lvlText w:val="%7."/>
      <w:lvlJc w:val="left"/>
      <w:pPr>
        <w:ind w:left="5672" w:hanging="360"/>
      </w:pPr>
    </w:lvl>
    <w:lvl w:ilvl="7" w:tplc="0C0C0019" w:tentative="1">
      <w:start w:val="1"/>
      <w:numFmt w:val="lowerLetter"/>
      <w:lvlText w:val="%8."/>
      <w:lvlJc w:val="left"/>
      <w:pPr>
        <w:ind w:left="6392" w:hanging="360"/>
      </w:pPr>
    </w:lvl>
    <w:lvl w:ilvl="8" w:tplc="0C0C001B" w:tentative="1">
      <w:start w:val="1"/>
      <w:numFmt w:val="lowerRoman"/>
      <w:lvlText w:val="%9."/>
      <w:lvlJc w:val="right"/>
      <w:pPr>
        <w:ind w:left="7112" w:hanging="180"/>
      </w:pPr>
    </w:lvl>
  </w:abstractNum>
  <w:abstractNum w:abstractNumId="1">
    <w:nsid w:val="08EA2CE5"/>
    <w:multiLevelType w:val="hybridMultilevel"/>
    <w:tmpl w:val="0D34FA48"/>
    <w:lvl w:ilvl="0" w:tplc="5478E080">
      <w:start w:val="1"/>
      <w:numFmt w:val="bullet"/>
      <w:pStyle w:val="BPuce1"/>
      <w:lvlText w:val=""/>
      <w:lvlJc w:val="left"/>
      <w:pPr>
        <w:ind w:left="720" w:hanging="360"/>
      </w:pPr>
      <w:rPr>
        <w:rFonts w:ascii="Wingdings" w:hAnsi="Wingdings" w:hint="default"/>
        <w:color w:val="auto"/>
        <w:position w:val="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F45B0"/>
    <w:multiLevelType w:val="hybridMultilevel"/>
    <w:tmpl w:val="9F6463DC"/>
    <w:lvl w:ilvl="0" w:tplc="D74650A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A3E203C"/>
    <w:multiLevelType w:val="hybridMultilevel"/>
    <w:tmpl w:val="43D6F9EC"/>
    <w:lvl w:ilvl="0" w:tplc="D7BC065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42473F"/>
    <w:multiLevelType w:val="hybridMultilevel"/>
    <w:tmpl w:val="B16C1AC2"/>
    <w:lvl w:ilvl="0" w:tplc="6D74729E">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nsid w:val="28BF69EE"/>
    <w:multiLevelType w:val="hybridMultilevel"/>
    <w:tmpl w:val="3D904900"/>
    <w:lvl w:ilvl="0" w:tplc="8070BFA4">
      <w:start w:val="1"/>
      <w:numFmt w:val="lowerLetter"/>
      <w:lvlText w:val="%1)"/>
      <w:lvlJc w:val="left"/>
      <w:pPr>
        <w:ind w:left="720" w:hanging="360"/>
      </w:pPr>
      <w:rPr>
        <w:rFonts w:hint="default"/>
        <w:color w:val="auto"/>
        <w:sz w:val="22"/>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AD3122C"/>
    <w:multiLevelType w:val="hybridMultilevel"/>
    <w:tmpl w:val="56928D10"/>
    <w:lvl w:ilvl="0" w:tplc="C42A2E2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CCE03EB"/>
    <w:multiLevelType w:val="hybridMultilevel"/>
    <w:tmpl w:val="1E924384"/>
    <w:lvl w:ilvl="0" w:tplc="AE94D9C6">
      <w:start w:val="1"/>
      <w:numFmt w:val="decimal"/>
      <w:lvlText w:val="%1-"/>
      <w:lvlJc w:val="left"/>
      <w:pPr>
        <w:ind w:left="927"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DE31AE1"/>
    <w:multiLevelType w:val="hybridMultilevel"/>
    <w:tmpl w:val="498CDB00"/>
    <w:lvl w:ilvl="0" w:tplc="81FAE9D6">
      <w:start w:val="1"/>
      <w:numFmt w:val="upperLetter"/>
      <w:lvlText w:val="%1)"/>
      <w:lvlJc w:val="left"/>
      <w:pPr>
        <w:ind w:left="1080" w:hanging="360"/>
      </w:pPr>
      <w:rPr>
        <w:rFonts w:hint="default"/>
        <w:b/>
        <w:u w:val="single"/>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34740254"/>
    <w:multiLevelType w:val="hybridMultilevel"/>
    <w:tmpl w:val="45B45F1C"/>
    <w:lvl w:ilvl="0" w:tplc="105040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133043"/>
    <w:multiLevelType w:val="hybridMultilevel"/>
    <w:tmpl w:val="BC5A5A3C"/>
    <w:lvl w:ilvl="0" w:tplc="8F2C3452">
      <w:start w:val="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1C86704"/>
    <w:multiLevelType w:val="multilevel"/>
    <w:tmpl w:val="827C4E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A43CF8"/>
    <w:multiLevelType w:val="hybridMultilevel"/>
    <w:tmpl w:val="D4D0B944"/>
    <w:lvl w:ilvl="0" w:tplc="373ED0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4671215B"/>
    <w:multiLevelType w:val="hybridMultilevel"/>
    <w:tmpl w:val="82AC6BFE"/>
    <w:lvl w:ilvl="0" w:tplc="0C0C0017">
      <w:start w:val="1"/>
      <w:numFmt w:val="lowerLetter"/>
      <w:lvlText w:val="%1)"/>
      <w:lvlJc w:val="left"/>
      <w:pPr>
        <w:ind w:left="644" w:hanging="360"/>
      </w:pPr>
      <w:rPr>
        <w:rFonts w:hint="default"/>
        <w:color w:val="auto"/>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4">
    <w:nsid w:val="48256BE5"/>
    <w:multiLevelType w:val="hybridMultilevel"/>
    <w:tmpl w:val="A378A712"/>
    <w:lvl w:ilvl="0" w:tplc="0ACC8722">
      <w:start w:val="1"/>
      <w:numFmt w:val="upperRoman"/>
      <w:lvlText w:val="%1-"/>
      <w:lvlJc w:val="left"/>
      <w:pPr>
        <w:ind w:left="1080" w:hanging="720"/>
      </w:pPr>
      <w:rPr>
        <w:rFonts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F3E4634"/>
    <w:multiLevelType w:val="hybridMultilevel"/>
    <w:tmpl w:val="353E15BC"/>
    <w:lvl w:ilvl="0" w:tplc="601693B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5A9E1750"/>
    <w:multiLevelType w:val="hybridMultilevel"/>
    <w:tmpl w:val="0660CE2C"/>
    <w:lvl w:ilvl="0" w:tplc="FB0C854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60805E20"/>
    <w:multiLevelType w:val="hybridMultilevel"/>
    <w:tmpl w:val="E778AA8E"/>
    <w:lvl w:ilvl="0" w:tplc="0ACC8722">
      <w:start w:val="1"/>
      <w:numFmt w:val="upperRoman"/>
      <w:lvlText w:val="%1-"/>
      <w:lvlJc w:val="left"/>
      <w:pPr>
        <w:ind w:left="1080" w:hanging="720"/>
      </w:pPr>
      <w:rPr>
        <w:rFonts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8831F3"/>
    <w:multiLevelType w:val="hybridMultilevel"/>
    <w:tmpl w:val="3BF0C59E"/>
    <w:lvl w:ilvl="0" w:tplc="37DC838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6EE3532D"/>
    <w:multiLevelType w:val="hybridMultilevel"/>
    <w:tmpl w:val="70166B44"/>
    <w:lvl w:ilvl="0" w:tplc="5A70F23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71D54FE7"/>
    <w:multiLevelType w:val="hybridMultilevel"/>
    <w:tmpl w:val="1EA4F27A"/>
    <w:lvl w:ilvl="0" w:tplc="7AE41BE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760B4B1C"/>
    <w:multiLevelType w:val="hybridMultilevel"/>
    <w:tmpl w:val="8ABCC0C8"/>
    <w:lvl w:ilvl="0" w:tplc="4972121A">
      <w:start w:val="1"/>
      <w:numFmt w:val="bullet"/>
      <w:pStyle w:val="BPuce2"/>
      <w:lvlText w:val="­"/>
      <w:lvlJc w:val="left"/>
      <w:pPr>
        <w:ind w:left="720" w:hanging="360"/>
      </w:pPr>
      <w:rPr>
        <w:rFonts w:ascii="Calibri" w:hAnsi="Calibri" w:hint="default"/>
        <w:b w:val="0"/>
        <w:i w:val="0"/>
        <w:color w:val="auto"/>
        <w:spacing w:val="0"/>
        <w:w w:val="100"/>
        <w:kern w:val="0"/>
        <w:position w:val="0"/>
        <w:sz w:val="22"/>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F3A1F56"/>
    <w:multiLevelType w:val="hybridMultilevel"/>
    <w:tmpl w:val="DCAAF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
  </w:num>
  <w:num w:numId="4">
    <w:abstractNumId w:val="21"/>
  </w:num>
  <w:num w:numId="5">
    <w:abstractNumId w:val="19"/>
  </w:num>
  <w:num w:numId="6">
    <w:abstractNumId w:val="16"/>
  </w:num>
  <w:num w:numId="7">
    <w:abstractNumId w:val="12"/>
  </w:num>
  <w:num w:numId="8">
    <w:abstractNumId w:val="15"/>
  </w:num>
  <w:num w:numId="9">
    <w:abstractNumId w:val="18"/>
  </w:num>
  <w:num w:numId="10">
    <w:abstractNumId w:val="6"/>
  </w:num>
  <w:num w:numId="11">
    <w:abstractNumId w:val="20"/>
  </w:num>
  <w:num w:numId="12">
    <w:abstractNumId w:val="11"/>
  </w:num>
  <w:num w:numId="13">
    <w:abstractNumId w:val="0"/>
  </w:num>
  <w:num w:numId="14">
    <w:abstractNumId w:val="13"/>
  </w:num>
  <w:num w:numId="15">
    <w:abstractNumId w:val="5"/>
  </w:num>
  <w:num w:numId="16">
    <w:abstractNumId w:val="8"/>
  </w:num>
  <w:num w:numId="17">
    <w:abstractNumId w:val="10"/>
  </w:num>
  <w:num w:numId="18">
    <w:abstractNumId w:val="4"/>
  </w:num>
  <w:num w:numId="19">
    <w:abstractNumId w:val="3"/>
  </w:num>
  <w:num w:numId="20">
    <w:abstractNumId w:val="2"/>
  </w:num>
  <w:num w:numId="21">
    <w:abstractNumId w:val="22"/>
  </w:num>
  <w:num w:numId="22">
    <w:abstractNumId w:val="7"/>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FA"/>
    <w:rsid w:val="000013AC"/>
    <w:rsid w:val="00004872"/>
    <w:rsid w:val="00004E42"/>
    <w:rsid w:val="00007D79"/>
    <w:rsid w:val="00015395"/>
    <w:rsid w:val="00015B5E"/>
    <w:rsid w:val="00020156"/>
    <w:rsid w:val="00021163"/>
    <w:rsid w:val="00023903"/>
    <w:rsid w:val="00023F81"/>
    <w:rsid w:val="00025D2B"/>
    <w:rsid w:val="00030A88"/>
    <w:rsid w:val="00033224"/>
    <w:rsid w:val="00036065"/>
    <w:rsid w:val="0003683E"/>
    <w:rsid w:val="000406DB"/>
    <w:rsid w:val="00042E3B"/>
    <w:rsid w:val="00043A4E"/>
    <w:rsid w:val="000453FB"/>
    <w:rsid w:val="0004621A"/>
    <w:rsid w:val="000474DB"/>
    <w:rsid w:val="00057800"/>
    <w:rsid w:val="0006058A"/>
    <w:rsid w:val="000610C4"/>
    <w:rsid w:val="00061A58"/>
    <w:rsid w:val="00065D53"/>
    <w:rsid w:val="0007044C"/>
    <w:rsid w:val="000718FE"/>
    <w:rsid w:val="00073F85"/>
    <w:rsid w:val="000776B6"/>
    <w:rsid w:val="00081DBB"/>
    <w:rsid w:val="00081F27"/>
    <w:rsid w:val="00082E9C"/>
    <w:rsid w:val="00087BFE"/>
    <w:rsid w:val="000918BE"/>
    <w:rsid w:val="00093805"/>
    <w:rsid w:val="00096384"/>
    <w:rsid w:val="0009772A"/>
    <w:rsid w:val="000A15BB"/>
    <w:rsid w:val="000A3F5C"/>
    <w:rsid w:val="000A4235"/>
    <w:rsid w:val="000A7397"/>
    <w:rsid w:val="000B195E"/>
    <w:rsid w:val="000B3ED3"/>
    <w:rsid w:val="000B50BB"/>
    <w:rsid w:val="000C1521"/>
    <w:rsid w:val="000C1B6C"/>
    <w:rsid w:val="000C4656"/>
    <w:rsid w:val="000C46B4"/>
    <w:rsid w:val="000C5A65"/>
    <w:rsid w:val="000C6B9C"/>
    <w:rsid w:val="000C76CC"/>
    <w:rsid w:val="000D2793"/>
    <w:rsid w:val="000D4ACE"/>
    <w:rsid w:val="000D6991"/>
    <w:rsid w:val="000D7317"/>
    <w:rsid w:val="000E1823"/>
    <w:rsid w:val="000E3317"/>
    <w:rsid w:val="000E3492"/>
    <w:rsid w:val="000F1B19"/>
    <w:rsid w:val="000F2438"/>
    <w:rsid w:val="000F548A"/>
    <w:rsid w:val="000F5FAC"/>
    <w:rsid w:val="000F7A18"/>
    <w:rsid w:val="00101C10"/>
    <w:rsid w:val="001032C3"/>
    <w:rsid w:val="001045AF"/>
    <w:rsid w:val="00105A4B"/>
    <w:rsid w:val="00110B88"/>
    <w:rsid w:val="001118A5"/>
    <w:rsid w:val="00116FF2"/>
    <w:rsid w:val="001210CC"/>
    <w:rsid w:val="00121E1C"/>
    <w:rsid w:val="0012419F"/>
    <w:rsid w:val="001262F5"/>
    <w:rsid w:val="001333B1"/>
    <w:rsid w:val="00134BDB"/>
    <w:rsid w:val="00135A3C"/>
    <w:rsid w:val="00135FE2"/>
    <w:rsid w:val="0013728E"/>
    <w:rsid w:val="00140927"/>
    <w:rsid w:val="00143B34"/>
    <w:rsid w:val="0015034E"/>
    <w:rsid w:val="00150C52"/>
    <w:rsid w:val="00152E77"/>
    <w:rsid w:val="00153102"/>
    <w:rsid w:val="001532DA"/>
    <w:rsid w:val="0015381D"/>
    <w:rsid w:val="00160104"/>
    <w:rsid w:val="001608E5"/>
    <w:rsid w:val="00162E75"/>
    <w:rsid w:val="0016736F"/>
    <w:rsid w:val="00170A9E"/>
    <w:rsid w:val="00177F1C"/>
    <w:rsid w:val="001802EE"/>
    <w:rsid w:val="00183B32"/>
    <w:rsid w:val="001843FB"/>
    <w:rsid w:val="00184E77"/>
    <w:rsid w:val="00186B34"/>
    <w:rsid w:val="00186C93"/>
    <w:rsid w:val="0018751F"/>
    <w:rsid w:val="00190F52"/>
    <w:rsid w:val="001911D2"/>
    <w:rsid w:val="00193208"/>
    <w:rsid w:val="001961FA"/>
    <w:rsid w:val="00197CD9"/>
    <w:rsid w:val="001A0BB0"/>
    <w:rsid w:val="001A1294"/>
    <w:rsid w:val="001A2DF4"/>
    <w:rsid w:val="001A62BE"/>
    <w:rsid w:val="001B41A3"/>
    <w:rsid w:val="001B53D7"/>
    <w:rsid w:val="001C031B"/>
    <w:rsid w:val="001C3950"/>
    <w:rsid w:val="001C3F40"/>
    <w:rsid w:val="001D1977"/>
    <w:rsid w:val="001D1B6D"/>
    <w:rsid w:val="001D2E1D"/>
    <w:rsid w:val="001D38E1"/>
    <w:rsid w:val="001D3F9F"/>
    <w:rsid w:val="001D605F"/>
    <w:rsid w:val="001E29A8"/>
    <w:rsid w:val="001E3159"/>
    <w:rsid w:val="001E58AF"/>
    <w:rsid w:val="001F082F"/>
    <w:rsid w:val="001F7514"/>
    <w:rsid w:val="0020326C"/>
    <w:rsid w:val="0020556F"/>
    <w:rsid w:val="002072AF"/>
    <w:rsid w:val="0020746F"/>
    <w:rsid w:val="00210EB6"/>
    <w:rsid w:val="00211101"/>
    <w:rsid w:val="00212D02"/>
    <w:rsid w:val="00213F3C"/>
    <w:rsid w:val="00222166"/>
    <w:rsid w:val="002226CD"/>
    <w:rsid w:val="002245C3"/>
    <w:rsid w:val="0022460F"/>
    <w:rsid w:val="0022732E"/>
    <w:rsid w:val="00231E31"/>
    <w:rsid w:val="00232DA3"/>
    <w:rsid w:val="002344F5"/>
    <w:rsid w:val="00234C79"/>
    <w:rsid w:val="002376D7"/>
    <w:rsid w:val="0023782A"/>
    <w:rsid w:val="002400B2"/>
    <w:rsid w:val="00241DE5"/>
    <w:rsid w:val="00242568"/>
    <w:rsid w:val="00243A56"/>
    <w:rsid w:val="00244F13"/>
    <w:rsid w:val="00245F7A"/>
    <w:rsid w:val="00246006"/>
    <w:rsid w:val="00246008"/>
    <w:rsid w:val="002462C5"/>
    <w:rsid w:val="0024656C"/>
    <w:rsid w:val="00246AD7"/>
    <w:rsid w:val="00252010"/>
    <w:rsid w:val="00252228"/>
    <w:rsid w:val="00252556"/>
    <w:rsid w:val="00253446"/>
    <w:rsid w:val="002540B5"/>
    <w:rsid w:val="002559AB"/>
    <w:rsid w:val="00256158"/>
    <w:rsid w:val="00264C47"/>
    <w:rsid w:val="002655D7"/>
    <w:rsid w:val="002670D9"/>
    <w:rsid w:val="00270319"/>
    <w:rsid w:val="002750C9"/>
    <w:rsid w:val="00277C1F"/>
    <w:rsid w:val="00281814"/>
    <w:rsid w:val="0028325F"/>
    <w:rsid w:val="002844BA"/>
    <w:rsid w:val="00287264"/>
    <w:rsid w:val="00293AC7"/>
    <w:rsid w:val="00294A4A"/>
    <w:rsid w:val="0029553D"/>
    <w:rsid w:val="00297332"/>
    <w:rsid w:val="00297A86"/>
    <w:rsid w:val="002A0ED1"/>
    <w:rsid w:val="002A208F"/>
    <w:rsid w:val="002A6D85"/>
    <w:rsid w:val="002B36FB"/>
    <w:rsid w:val="002B771F"/>
    <w:rsid w:val="002C330E"/>
    <w:rsid w:val="002D0AD7"/>
    <w:rsid w:val="002D4526"/>
    <w:rsid w:val="002D4ACA"/>
    <w:rsid w:val="002D54A4"/>
    <w:rsid w:val="002D5F6A"/>
    <w:rsid w:val="002D6823"/>
    <w:rsid w:val="002E28C9"/>
    <w:rsid w:val="002E6C8F"/>
    <w:rsid w:val="002E6FA6"/>
    <w:rsid w:val="002E7107"/>
    <w:rsid w:val="002F02FC"/>
    <w:rsid w:val="002F0C6F"/>
    <w:rsid w:val="002F277F"/>
    <w:rsid w:val="002F3E7B"/>
    <w:rsid w:val="00300966"/>
    <w:rsid w:val="00303CA8"/>
    <w:rsid w:val="003054FE"/>
    <w:rsid w:val="00306907"/>
    <w:rsid w:val="00311967"/>
    <w:rsid w:val="00313D8B"/>
    <w:rsid w:val="00314219"/>
    <w:rsid w:val="00315525"/>
    <w:rsid w:val="00321569"/>
    <w:rsid w:val="00321E1F"/>
    <w:rsid w:val="00323631"/>
    <w:rsid w:val="0032536D"/>
    <w:rsid w:val="00325B6B"/>
    <w:rsid w:val="00325D8B"/>
    <w:rsid w:val="003314F2"/>
    <w:rsid w:val="00331506"/>
    <w:rsid w:val="00340258"/>
    <w:rsid w:val="003429F3"/>
    <w:rsid w:val="00345D77"/>
    <w:rsid w:val="003462B7"/>
    <w:rsid w:val="00346D11"/>
    <w:rsid w:val="00347D13"/>
    <w:rsid w:val="00350253"/>
    <w:rsid w:val="00352FD5"/>
    <w:rsid w:val="00354893"/>
    <w:rsid w:val="00355AE5"/>
    <w:rsid w:val="003563C3"/>
    <w:rsid w:val="00357A08"/>
    <w:rsid w:val="003735F9"/>
    <w:rsid w:val="00373ED6"/>
    <w:rsid w:val="00375AA1"/>
    <w:rsid w:val="003809C3"/>
    <w:rsid w:val="00382E14"/>
    <w:rsid w:val="00384BF4"/>
    <w:rsid w:val="00387CF5"/>
    <w:rsid w:val="00391C13"/>
    <w:rsid w:val="00392BCA"/>
    <w:rsid w:val="00393471"/>
    <w:rsid w:val="00393BC0"/>
    <w:rsid w:val="003A23ED"/>
    <w:rsid w:val="003A2CC5"/>
    <w:rsid w:val="003A35BB"/>
    <w:rsid w:val="003A36DF"/>
    <w:rsid w:val="003B03A5"/>
    <w:rsid w:val="003B4555"/>
    <w:rsid w:val="003B4A53"/>
    <w:rsid w:val="003B5604"/>
    <w:rsid w:val="003B5978"/>
    <w:rsid w:val="003C0F2F"/>
    <w:rsid w:val="003C11CE"/>
    <w:rsid w:val="003C37CC"/>
    <w:rsid w:val="003C6378"/>
    <w:rsid w:val="003C6A43"/>
    <w:rsid w:val="003C7021"/>
    <w:rsid w:val="003D0A63"/>
    <w:rsid w:val="003D569F"/>
    <w:rsid w:val="003E0BB3"/>
    <w:rsid w:val="003E38D3"/>
    <w:rsid w:val="003E4094"/>
    <w:rsid w:val="003E614E"/>
    <w:rsid w:val="003E6EF2"/>
    <w:rsid w:val="003F04C1"/>
    <w:rsid w:val="003F26A5"/>
    <w:rsid w:val="003F5E76"/>
    <w:rsid w:val="00400645"/>
    <w:rsid w:val="00401F3A"/>
    <w:rsid w:val="004024B6"/>
    <w:rsid w:val="00405F17"/>
    <w:rsid w:val="0040727A"/>
    <w:rsid w:val="00410BD6"/>
    <w:rsid w:val="0041365D"/>
    <w:rsid w:val="00413EB8"/>
    <w:rsid w:val="00414702"/>
    <w:rsid w:val="00415F1C"/>
    <w:rsid w:val="00417A9E"/>
    <w:rsid w:val="00427288"/>
    <w:rsid w:val="004278A2"/>
    <w:rsid w:val="00427C51"/>
    <w:rsid w:val="0043145C"/>
    <w:rsid w:val="004328AA"/>
    <w:rsid w:val="004343D3"/>
    <w:rsid w:val="004358B1"/>
    <w:rsid w:val="00441560"/>
    <w:rsid w:val="004613F1"/>
    <w:rsid w:val="00465997"/>
    <w:rsid w:val="004707EA"/>
    <w:rsid w:val="004740E9"/>
    <w:rsid w:val="004770FC"/>
    <w:rsid w:val="004775D8"/>
    <w:rsid w:val="0048085C"/>
    <w:rsid w:val="00482D0E"/>
    <w:rsid w:val="004845A6"/>
    <w:rsid w:val="004857C5"/>
    <w:rsid w:val="00494E00"/>
    <w:rsid w:val="00494E22"/>
    <w:rsid w:val="004A505A"/>
    <w:rsid w:val="004B2CBB"/>
    <w:rsid w:val="004B2E29"/>
    <w:rsid w:val="004C05AB"/>
    <w:rsid w:val="004C68A5"/>
    <w:rsid w:val="004D414E"/>
    <w:rsid w:val="004D42FD"/>
    <w:rsid w:val="004D48D3"/>
    <w:rsid w:val="004D76DE"/>
    <w:rsid w:val="004E4513"/>
    <w:rsid w:val="004E4737"/>
    <w:rsid w:val="004E5359"/>
    <w:rsid w:val="004E54B4"/>
    <w:rsid w:val="004F54AA"/>
    <w:rsid w:val="00500F29"/>
    <w:rsid w:val="00501C62"/>
    <w:rsid w:val="00504127"/>
    <w:rsid w:val="00507A0E"/>
    <w:rsid w:val="0051060B"/>
    <w:rsid w:val="00512FA4"/>
    <w:rsid w:val="00513E29"/>
    <w:rsid w:val="00516362"/>
    <w:rsid w:val="005240DE"/>
    <w:rsid w:val="00524446"/>
    <w:rsid w:val="00524D6D"/>
    <w:rsid w:val="00526CF9"/>
    <w:rsid w:val="00527F38"/>
    <w:rsid w:val="00531D0D"/>
    <w:rsid w:val="0053342B"/>
    <w:rsid w:val="0053666C"/>
    <w:rsid w:val="00543140"/>
    <w:rsid w:val="00550265"/>
    <w:rsid w:val="00552741"/>
    <w:rsid w:val="00567CE8"/>
    <w:rsid w:val="0057072D"/>
    <w:rsid w:val="00577DF5"/>
    <w:rsid w:val="00580BCB"/>
    <w:rsid w:val="00583394"/>
    <w:rsid w:val="00584013"/>
    <w:rsid w:val="005846B8"/>
    <w:rsid w:val="005860F9"/>
    <w:rsid w:val="00591EC1"/>
    <w:rsid w:val="00591F60"/>
    <w:rsid w:val="00592E3B"/>
    <w:rsid w:val="00595DD4"/>
    <w:rsid w:val="00596C0E"/>
    <w:rsid w:val="005A246B"/>
    <w:rsid w:val="005A5DD8"/>
    <w:rsid w:val="005A685A"/>
    <w:rsid w:val="005A76B4"/>
    <w:rsid w:val="005B57B1"/>
    <w:rsid w:val="005B7469"/>
    <w:rsid w:val="005C1D72"/>
    <w:rsid w:val="005C5B0B"/>
    <w:rsid w:val="005C77B2"/>
    <w:rsid w:val="005D09EE"/>
    <w:rsid w:val="005E0CDB"/>
    <w:rsid w:val="005E1A56"/>
    <w:rsid w:val="005E6219"/>
    <w:rsid w:val="005E69A5"/>
    <w:rsid w:val="005E7345"/>
    <w:rsid w:val="005E7AA9"/>
    <w:rsid w:val="005F33C9"/>
    <w:rsid w:val="0060222F"/>
    <w:rsid w:val="00605AC1"/>
    <w:rsid w:val="006070ED"/>
    <w:rsid w:val="00611BA2"/>
    <w:rsid w:val="00613B7E"/>
    <w:rsid w:val="0061663A"/>
    <w:rsid w:val="006228EB"/>
    <w:rsid w:val="00622EDD"/>
    <w:rsid w:val="00625475"/>
    <w:rsid w:val="00627E14"/>
    <w:rsid w:val="006302C2"/>
    <w:rsid w:val="00630FA6"/>
    <w:rsid w:val="0063196A"/>
    <w:rsid w:val="006346AF"/>
    <w:rsid w:val="00634AEF"/>
    <w:rsid w:val="0063770F"/>
    <w:rsid w:val="00637DAC"/>
    <w:rsid w:val="006401CD"/>
    <w:rsid w:val="00640C83"/>
    <w:rsid w:val="00641222"/>
    <w:rsid w:val="006423DC"/>
    <w:rsid w:val="00643427"/>
    <w:rsid w:val="00644757"/>
    <w:rsid w:val="0064481F"/>
    <w:rsid w:val="00646F9A"/>
    <w:rsid w:val="006475C6"/>
    <w:rsid w:val="00660A5A"/>
    <w:rsid w:val="006613E1"/>
    <w:rsid w:val="00664C86"/>
    <w:rsid w:val="00667D0C"/>
    <w:rsid w:val="00667F42"/>
    <w:rsid w:val="00673135"/>
    <w:rsid w:val="00674230"/>
    <w:rsid w:val="006759EE"/>
    <w:rsid w:val="00675D50"/>
    <w:rsid w:val="006768D0"/>
    <w:rsid w:val="00681DB4"/>
    <w:rsid w:val="00682A8B"/>
    <w:rsid w:val="0068386A"/>
    <w:rsid w:val="006867A1"/>
    <w:rsid w:val="00690701"/>
    <w:rsid w:val="00692E50"/>
    <w:rsid w:val="00693C69"/>
    <w:rsid w:val="00695345"/>
    <w:rsid w:val="006A3438"/>
    <w:rsid w:val="006A358E"/>
    <w:rsid w:val="006A3743"/>
    <w:rsid w:val="006A7EBE"/>
    <w:rsid w:val="006B1D0B"/>
    <w:rsid w:val="006B22C3"/>
    <w:rsid w:val="006C0E49"/>
    <w:rsid w:val="006C3BC5"/>
    <w:rsid w:val="006C5380"/>
    <w:rsid w:val="006D0C9A"/>
    <w:rsid w:val="006D0F14"/>
    <w:rsid w:val="006D19D6"/>
    <w:rsid w:val="006D1D76"/>
    <w:rsid w:val="006D2988"/>
    <w:rsid w:val="006D376C"/>
    <w:rsid w:val="006D4A65"/>
    <w:rsid w:val="006D548D"/>
    <w:rsid w:val="006D5FD7"/>
    <w:rsid w:val="006E05DF"/>
    <w:rsid w:val="006E0E1B"/>
    <w:rsid w:val="006E1364"/>
    <w:rsid w:val="006E2972"/>
    <w:rsid w:val="006E4053"/>
    <w:rsid w:val="006E6894"/>
    <w:rsid w:val="006F24F4"/>
    <w:rsid w:val="00704C51"/>
    <w:rsid w:val="007052C5"/>
    <w:rsid w:val="00711874"/>
    <w:rsid w:val="00712CD0"/>
    <w:rsid w:val="0071312B"/>
    <w:rsid w:val="00714C2F"/>
    <w:rsid w:val="00721C74"/>
    <w:rsid w:val="00723EED"/>
    <w:rsid w:val="007301EA"/>
    <w:rsid w:val="007313A1"/>
    <w:rsid w:val="007358D9"/>
    <w:rsid w:val="0073643C"/>
    <w:rsid w:val="007409A3"/>
    <w:rsid w:val="00741A8E"/>
    <w:rsid w:val="0074252D"/>
    <w:rsid w:val="007426B3"/>
    <w:rsid w:val="0074271B"/>
    <w:rsid w:val="007467D9"/>
    <w:rsid w:val="007468B3"/>
    <w:rsid w:val="007476B7"/>
    <w:rsid w:val="00747AB8"/>
    <w:rsid w:val="00750BEA"/>
    <w:rsid w:val="0075250E"/>
    <w:rsid w:val="0075529B"/>
    <w:rsid w:val="00756FF7"/>
    <w:rsid w:val="007626E1"/>
    <w:rsid w:val="00763B3D"/>
    <w:rsid w:val="00764653"/>
    <w:rsid w:val="00766738"/>
    <w:rsid w:val="00770F3F"/>
    <w:rsid w:val="0077731C"/>
    <w:rsid w:val="00781C3F"/>
    <w:rsid w:val="00790D34"/>
    <w:rsid w:val="00793CC7"/>
    <w:rsid w:val="007952D6"/>
    <w:rsid w:val="007959FE"/>
    <w:rsid w:val="00796A13"/>
    <w:rsid w:val="007A5535"/>
    <w:rsid w:val="007A5C65"/>
    <w:rsid w:val="007A6870"/>
    <w:rsid w:val="007A7150"/>
    <w:rsid w:val="007B3EF3"/>
    <w:rsid w:val="007B469E"/>
    <w:rsid w:val="007C019D"/>
    <w:rsid w:val="007C09A1"/>
    <w:rsid w:val="007C1470"/>
    <w:rsid w:val="007C200C"/>
    <w:rsid w:val="007D0C6D"/>
    <w:rsid w:val="007D280D"/>
    <w:rsid w:val="007D43A0"/>
    <w:rsid w:val="007D4DCD"/>
    <w:rsid w:val="007D653E"/>
    <w:rsid w:val="007D7D91"/>
    <w:rsid w:val="007E1A74"/>
    <w:rsid w:val="007E2931"/>
    <w:rsid w:val="007E57C0"/>
    <w:rsid w:val="007E5C5A"/>
    <w:rsid w:val="007E6FC6"/>
    <w:rsid w:val="007E73C6"/>
    <w:rsid w:val="007F2A64"/>
    <w:rsid w:val="007F4D5E"/>
    <w:rsid w:val="007F4D8D"/>
    <w:rsid w:val="007F788A"/>
    <w:rsid w:val="008036A4"/>
    <w:rsid w:val="00803DE1"/>
    <w:rsid w:val="00806960"/>
    <w:rsid w:val="00813416"/>
    <w:rsid w:val="008138DB"/>
    <w:rsid w:val="008154CF"/>
    <w:rsid w:val="00815ABD"/>
    <w:rsid w:val="00821AD9"/>
    <w:rsid w:val="0082284E"/>
    <w:rsid w:val="00826E45"/>
    <w:rsid w:val="008274D4"/>
    <w:rsid w:val="00830A2A"/>
    <w:rsid w:val="00832DFC"/>
    <w:rsid w:val="00833CAD"/>
    <w:rsid w:val="0083421D"/>
    <w:rsid w:val="0083424C"/>
    <w:rsid w:val="00834FF7"/>
    <w:rsid w:val="00842D4C"/>
    <w:rsid w:val="00845D5B"/>
    <w:rsid w:val="008508C1"/>
    <w:rsid w:val="008515FF"/>
    <w:rsid w:val="00851BC8"/>
    <w:rsid w:val="00851C27"/>
    <w:rsid w:val="0086133C"/>
    <w:rsid w:val="00861F31"/>
    <w:rsid w:val="00863262"/>
    <w:rsid w:val="00863426"/>
    <w:rsid w:val="0086410C"/>
    <w:rsid w:val="008642E4"/>
    <w:rsid w:val="00864801"/>
    <w:rsid w:val="00864A21"/>
    <w:rsid w:val="00866A20"/>
    <w:rsid w:val="00866A5B"/>
    <w:rsid w:val="008712B8"/>
    <w:rsid w:val="00876B35"/>
    <w:rsid w:val="008820B8"/>
    <w:rsid w:val="008847B4"/>
    <w:rsid w:val="00885138"/>
    <w:rsid w:val="008871BA"/>
    <w:rsid w:val="00890C46"/>
    <w:rsid w:val="0089747F"/>
    <w:rsid w:val="008A56B0"/>
    <w:rsid w:val="008A6674"/>
    <w:rsid w:val="008B053D"/>
    <w:rsid w:val="008B0F54"/>
    <w:rsid w:val="008B388D"/>
    <w:rsid w:val="008B3C62"/>
    <w:rsid w:val="008B4651"/>
    <w:rsid w:val="008B6AFD"/>
    <w:rsid w:val="008B756A"/>
    <w:rsid w:val="008C29F8"/>
    <w:rsid w:val="008C2A18"/>
    <w:rsid w:val="008C32AA"/>
    <w:rsid w:val="008C454D"/>
    <w:rsid w:val="008C571A"/>
    <w:rsid w:val="008C7EA9"/>
    <w:rsid w:val="008D1116"/>
    <w:rsid w:val="008D1767"/>
    <w:rsid w:val="008D5ECE"/>
    <w:rsid w:val="008E6CDF"/>
    <w:rsid w:val="008F03CE"/>
    <w:rsid w:val="008F3257"/>
    <w:rsid w:val="008F3276"/>
    <w:rsid w:val="008F3C16"/>
    <w:rsid w:val="008F46B9"/>
    <w:rsid w:val="008F4EC4"/>
    <w:rsid w:val="008F579E"/>
    <w:rsid w:val="008F5F5A"/>
    <w:rsid w:val="008F6BC3"/>
    <w:rsid w:val="008F7797"/>
    <w:rsid w:val="00900592"/>
    <w:rsid w:val="00900B27"/>
    <w:rsid w:val="00900CA8"/>
    <w:rsid w:val="00900CB8"/>
    <w:rsid w:val="00900D4F"/>
    <w:rsid w:val="009031B0"/>
    <w:rsid w:val="009069FE"/>
    <w:rsid w:val="00907A88"/>
    <w:rsid w:val="00914B63"/>
    <w:rsid w:val="00915086"/>
    <w:rsid w:val="009203C3"/>
    <w:rsid w:val="00920CA4"/>
    <w:rsid w:val="00921341"/>
    <w:rsid w:val="00921734"/>
    <w:rsid w:val="009248CB"/>
    <w:rsid w:val="00930076"/>
    <w:rsid w:val="00934564"/>
    <w:rsid w:val="009376D1"/>
    <w:rsid w:val="00941290"/>
    <w:rsid w:val="009423E3"/>
    <w:rsid w:val="00942A25"/>
    <w:rsid w:val="00944032"/>
    <w:rsid w:val="0094504E"/>
    <w:rsid w:val="00954487"/>
    <w:rsid w:val="00956358"/>
    <w:rsid w:val="009603AB"/>
    <w:rsid w:val="00964112"/>
    <w:rsid w:val="009702CE"/>
    <w:rsid w:val="009729F5"/>
    <w:rsid w:val="00972F83"/>
    <w:rsid w:val="00976B2D"/>
    <w:rsid w:val="00982141"/>
    <w:rsid w:val="00982918"/>
    <w:rsid w:val="009846D0"/>
    <w:rsid w:val="00995B3E"/>
    <w:rsid w:val="00997219"/>
    <w:rsid w:val="009975CC"/>
    <w:rsid w:val="009A14D0"/>
    <w:rsid w:val="009A4BFA"/>
    <w:rsid w:val="009B2186"/>
    <w:rsid w:val="009B2D3E"/>
    <w:rsid w:val="009B5586"/>
    <w:rsid w:val="009B582E"/>
    <w:rsid w:val="009C4FEC"/>
    <w:rsid w:val="009D66B0"/>
    <w:rsid w:val="009E577A"/>
    <w:rsid w:val="009E5F93"/>
    <w:rsid w:val="009E7467"/>
    <w:rsid w:val="009E76C1"/>
    <w:rsid w:val="009F2BC4"/>
    <w:rsid w:val="009F341D"/>
    <w:rsid w:val="009F411B"/>
    <w:rsid w:val="00A01520"/>
    <w:rsid w:val="00A026EB"/>
    <w:rsid w:val="00A06654"/>
    <w:rsid w:val="00A13686"/>
    <w:rsid w:val="00A145B3"/>
    <w:rsid w:val="00A1571F"/>
    <w:rsid w:val="00A15F96"/>
    <w:rsid w:val="00A20F8F"/>
    <w:rsid w:val="00A24B03"/>
    <w:rsid w:val="00A24BC4"/>
    <w:rsid w:val="00A25506"/>
    <w:rsid w:val="00A25747"/>
    <w:rsid w:val="00A262B7"/>
    <w:rsid w:val="00A3021E"/>
    <w:rsid w:val="00A3198B"/>
    <w:rsid w:val="00A3393C"/>
    <w:rsid w:val="00A36799"/>
    <w:rsid w:val="00A36A68"/>
    <w:rsid w:val="00A43670"/>
    <w:rsid w:val="00A442AF"/>
    <w:rsid w:val="00A45927"/>
    <w:rsid w:val="00A4690C"/>
    <w:rsid w:val="00A47E44"/>
    <w:rsid w:val="00A50F1B"/>
    <w:rsid w:val="00A55284"/>
    <w:rsid w:val="00A55AA6"/>
    <w:rsid w:val="00A63267"/>
    <w:rsid w:val="00A6373E"/>
    <w:rsid w:val="00A637F0"/>
    <w:rsid w:val="00A70BF4"/>
    <w:rsid w:val="00A74345"/>
    <w:rsid w:val="00A77394"/>
    <w:rsid w:val="00A77FFE"/>
    <w:rsid w:val="00A80E56"/>
    <w:rsid w:val="00A80FED"/>
    <w:rsid w:val="00A837DF"/>
    <w:rsid w:val="00A84AC2"/>
    <w:rsid w:val="00A9063B"/>
    <w:rsid w:val="00A914CD"/>
    <w:rsid w:val="00A91953"/>
    <w:rsid w:val="00A93A1B"/>
    <w:rsid w:val="00A94823"/>
    <w:rsid w:val="00A96141"/>
    <w:rsid w:val="00A968C0"/>
    <w:rsid w:val="00A9768F"/>
    <w:rsid w:val="00AA1D03"/>
    <w:rsid w:val="00AA2769"/>
    <w:rsid w:val="00AA482F"/>
    <w:rsid w:val="00AA6B43"/>
    <w:rsid w:val="00AA770F"/>
    <w:rsid w:val="00AB00B8"/>
    <w:rsid w:val="00AB163A"/>
    <w:rsid w:val="00AB2829"/>
    <w:rsid w:val="00AB457A"/>
    <w:rsid w:val="00AB6DEC"/>
    <w:rsid w:val="00AC1CE3"/>
    <w:rsid w:val="00AC3848"/>
    <w:rsid w:val="00AC4D0C"/>
    <w:rsid w:val="00AC6AF8"/>
    <w:rsid w:val="00AC75FF"/>
    <w:rsid w:val="00AD1074"/>
    <w:rsid w:val="00AD6C43"/>
    <w:rsid w:val="00AE0835"/>
    <w:rsid w:val="00AE2248"/>
    <w:rsid w:val="00AE4A1B"/>
    <w:rsid w:val="00AF372A"/>
    <w:rsid w:val="00AF6166"/>
    <w:rsid w:val="00AF62F3"/>
    <w:rsid w:val="00AF64BD"/>
    <w:rsid w:val="00AF6DF6"/>
    <w:rsid w:val="00AF757C"/>
    <w:rsid w:val="00AF7ED5"/>
    <w:rsid w:val="00B01A11"/>
    <w:rsid w:val="00B02DB8"/>
    <w:rsid w:val="00B05414"/>
    <w:rsid w:val="00B06CBD"/>
    <w:rsid w:val="00B104B1"/>
    <w:rsid w:val="00B108FA"/>
    <w:rsid w:val="00B129CE"/>
    <w:rsid w:val="00B13FD7"/>
    <w:rsid w:val="00B14F66"/>
    <w:rsid w:val="00B16677"/>
    <w:rsid w:val="00B26444"/>
    <w:rsid w:val="00B2792B"/>
    <w:rsid w:val="00B279A0"/>
    <w:rsid w:val="00B310F7"/>
    <w:rsid w:val="00B351C5"/>
    <w:rsid w:val="00B37297"/>
    <w:rsid w:val="00B42977"/>
    <w:rsid w:val="00B43146"/>
    <w:rsid w:val="00B44CD0"/>
    <w:rsid w:val="00B45102"/>
    <w:rsid w:val="00B46EFF"/>
    <w:rsid w:val="00B515E3"/>
    <w:rsid w:val="00B60A7F"/>
    <w:rsid w:val="00B61C74"/>
    <w:rsid w:val="00B62CBF"/>
    <w:rsid w:val="00B65F9E"/>
    <w:rsid w:val="00B6624D"/>
    <w:rsid w:val="00B70184"/>
    <w:rsid w:val="00B713B6"/>
    <w:rsid w:val="00B72DB3"/>
    <w:rsid w:val="00B75B96"/>
    <w:rsid w:val="00B80128"/>
    <w:rsid w:val="00B8021A"/>
    <w:rsid w:val="00B80F77"/>
    <w:rsid w:val="00B841AC"/>
    <w:rsid w:val="00B86362"/>
    <w:rsid w:val="00B87271"/>
    <w:rsid w:val="00B928EC"/>
    <w:rsid w:val="00B95C26"/>
    <w:rsid w:val="00B96BC8"/>
    <w:rsid w:val="00B97493"/>
    <w:rsid w:val="00B975D8"/>
    <w:rsid w:val="00BA23BA"/>
    <w:rsid w:val="00BA6E68"/>
    <w:rsid w:val="00BB1D1C"/>
    <w:rsid w:val="00BB6878"/>
    <w:rsid w:val="00BC112C"/>
    <w:rsid w:val="00BC1C9F"/>
    <w:rsid w:val="00BC233F"/>
    <w:rsid w:val="00BC273A"/>
    <w:rsid w:val="00BC2795"/>
    <w:rsid w:val="00BC3C52"/>
    <w:rsid w:val="00BC4F65"/>
    <w:rsid w:val="00BD2B4D"/>
    <w:rsid w:val="00BD41DE"/>
    <w:rsid w:val="00BD46A8"/>
    <w:rsid w:val="00BD597D"/>
    <w:rsid w:val="00BD6119"/>
    <w:rsid w:val="00BD622E"/>
    <w:rsid w:val="00BE12B9"/>
    <w:rsid w:val="00BE494D"/>
    <w:rsid w:val="00BE5DC2"/>
    <w:rsid w:val="00BE7912"/>
    <w:rsid w:val="00BF649D"/>
    <w:rsid w:val="00C05508"/>
    <w:rsid w:val="00C05FB8"/>
    <w:rsid w:val="00C060C9"/>
    <w:rsid w:val="00C060FA"/>
    <w:rsid w:val="00C07EE6"/>
    <w:rsid w:val="00C117CF"/>
    <w:rsid w:val="00C12DD9"/>
    <w:rsid w:val="00C13428"/>
    <w:rsid w:val="00C157D1"/>
    <w:rsid w:val="00C17D16"/>
    <w:rsid w:val="00C17D74"/>
    <w:rsid w:val="00C30D04"/>
    <w:rsid w:val="00C335CF"/>
    <w:rsid w:val="00C347B1"/>
    <w:rsid w:val="00C35804"/>
    <w:rsid w:val="00C35FB6"/>
    <w:rsid w:val="00C36CC3"/>
    <w:rsid w:val="00C370FB"/>
    <w:rsid w:val="00C46D6E"/>
    <w:rsid w:val="00C4768C"/>
    <w:rsid w:val="00C4775C"/>
    <w:rsid w:val="00C478B0"/>
    <w:rsid w:val="00C53E1B"/>
    <w:rsid w:val="00C54EA1"/>
    <w:rsid w:val="00C57A52"/>
    <w:rsid w:val="00C57C03"/>
    <w:rsid w:val="00C61286"/>
    <w:rsid w:val="00C62573"/>
    <w:rsid w:val="00C627DF"/>
    <w:rsid w:val="00C657BE"/>
    <w:rsid w:val="00C66305"/>
    <w:rsid w:val="00C66B06"/>
    <w:rsid w:val="00C729B8"/>
    <w:rsid w:val="00C73EFB"/>
    <w:rsid w:val="00C74551"/>
    <w:rsid w:val="00C757CF"/>
    <w:rsid w:val="00C75FC3"/>
    <w:rsid w:val="00C821E7"/>
    <w:rsid w:val="00C828F8"/>
    <w:rsid w:val="00C84AC8"/>
    <w:rsid w:val="00C92E73"/>
    <w:rsid w:val="00C933C8"/>
    <w:rsid w:val="00C959B5"/>
    <w:rsid w:val="00C96BED"/>
    <w:rsid w:val="00CA46D3"/>
    <w:rsid w:val="00CB1258"/>
    <w:rsid w:val="00CB4C50"/>
    <w:rsid w:val="00CC0515"/>
    <w:rsid w:val="00CC093F"/>
    <w:rsid w:val="00CC2C67"/>
    <w:rsid w:val="00CC5DA1"/>
    <w:rsid w:val="00CD46AC"/>
    <w:rsid w:val="00CD4D2B"/>
    <w:rsid w:val="00CE1263"/>
    <w:rsid w:val="00CE15F8"/>
    <w:rsid w:val="00CE3B4A"/>
    <w:rsid w:val="00CE5E83"/>
    <w:rsid w:val="00CF086F"/>
    <w:rsid w:val="00CF2919"/>
    <w:rsid w:val="00CF2E13"/>
    <w:rsid w:val="00CF319B"/>
    <w:rsid w:val="00CF443C"/>
    <w:rsid w:val="00CF4AC7"/>
    <w:rsid w:val="00CF4D4C"/>
    <w:rsid w:val="00CF5B77"/>
    <w:rsid w:val="00D019D1"/>
    <w:rsid w:val="00D03250"/>
    <w:rsid w:val="00D0348D"/>
    <w:rsid w:val="00D03F2D"/>
    <w:rsid w:val="00D0616A"/>
    <w:rsid w:val="00D079D8"/>
    <w:rsid w:val="00D11223"/>
    <w:rsid w:val="00D14475"/>
    <w:rsid w:val="00D16378"/>
    <w:rsid w:val="00D16456"/>
    <w:rsid w:val="00D16585"/>
    <w:rsid w:val="00D217DA"/>
    <w:rsid w:val="00D22D5B"/>
    <w:rsid w:val="00D24DD8"/>
    <w:rsid w:val="00D27314"/>
    <w:rsid w:val="00D3210E"/>
    <w:rsid w:val="00D33512"/>
    <w:rsid w:val="00D34B14"/>
    <w:rsid w:val="00D35D90"/>
    <w:rsid w:val="00D412C7"/>
    <w:rsid w:val="00D42696"/>
    <w:rsid w:val="00D4458E"/>
    <w:rsid w:val="00D45546"/>
    <w:rsid w:val="00D471F0"/>
    <w:rsid w:val="00D50D1C"/>
    <w:rsid w:val="00D5314C"/>
    <w:rsid w:val="00D576C2"/>
    <w:rsid w:val="00D65204"/>
    <w:rsid w:val="00D704B7"/>
    <w:rsid w:val="00D70A0B"/>
    <w:rsid w:val="00D721E3"/>
    <w:rsid w:val="00D723FC"/>
    <w:rsid w:val="00D73390"/>
    <w:rsid w:val="00D73503"/>
    <w:rsid w:val="00D74C8E"/>
    <w:rsid w:val="00D819EF"/>
    <w:rsid w:val="00D81CC5"/>
    <w:rsid w:val="00D85954"/>
    <w:rsid w:val="00D9205D"/>
    <w:rsid w:val="00D93673"/>
    <w:rsid w:val="00D93E59"/>
    <w:rsid w:val="00D95A4E"/>
    <w:rsid w:val="00DA2E9A"/>
    <w:rsid w:val="00DB1B6B"/>
    <w:rsid w:val="00DB2D2E"/>
    <w:rsid w:val="00DB7E34"/>
    <w:rsid w:val="00DC649C"/>
    <w:rsid w:val="00DD014B"/>
    <w:rsid w:val="00DD51B9"/>
    <w:rsid w:val="00DD548D"/>
    <w:rsid w:val="00DD59B4"/>
    <w:rsid w:val="00DD7E07"/>
    <w:rsid w:val="00DE1D58"/>
    <w:rsid w:val="00DE1F3E"/>
    <w:rsid w:val="00DE48D0"/>
    <w:rsid w:val="00DF2261"/>
    <w:rsid w:val="00DF4142"/>
    <w:rsid w:val="00DF6665"/>
    <w:rsid w:val="00DF7931"/>
    <w:rsid w:val="00DF7D8E"/>
    <w:rsid w:val="00E02862"/>
    <w:rsid w:val="00E03D25"/>
    <w:rsid w:val="00E0493C"/>
    <w:rsid w:val="00E0597D"/>
    <w:rsid w:val="00E05E55"/>
    <w:rsid w:val="00E11519"/>
    <w:rsid w:val="00E11FD1"/>
    <w:rsid w:val="00E12339"/>
    <w:rsid w:val="00E15769"/>
    <w:rsid w:val="00E24D30"/>
    <w:rsid w:val="00E306DC"/>
    <w:rsid w:val="00E32A23"/>
    <w:rsid w:val="00E33DEC"/>
    <w:rsid w:val="00E3549E"/>
    <w:rsid w:val="00E412DB"/>
    <w:rsid w:val="00E4407A"/>
    <w:rsid w:val="00E44F9F"/>
    <w:rsid w:val="00E455F2"/>
    <w:rsid w:val="00E47265"/>
    <w:rsid w:val="00E516E3"/>
    <w:rsid w:val="00E550B2"/>
    <w:rsid w:val="00E5673C"/>
    <w:rsid w:val="00E56C7F"/>
    <w:rsid w:val="00E62CAD"/>
    <w:rsid w:val="00E64D9D"/>
    <w:rsid w:val="00E651B5"/>
    <w:rsid w:val="00E70B3D"/>
    <w:rsid w:val="00E71019"/>
    <w:rsid w:val="00E73193"/>
    <w:rsid w:val="00E73296"/>
    <w:rsid w:val="00E75594"/>
    <w:rsid w:val="00E75FA4"/>
    <w:rsid w:val="00E76CB6"/>
    <w:rsid w:val="00E80325"/>
    <w:rsid w:val="00E83007"/>
    <w:rsid w:val="00E85B45"/>
    <w:rsid w:val="00E86FB3"/>
    <w:rsid w:val="00E90C39"/>
    <w:rsid w:val="00E91AFB"/>
    <w:rsid w:val="00E949ED"/>
    <w:rsid w:val="00E95B75"/>
    <w:rsid w:val="00E95FA1"/>
    <w:rsid w:val="00EA0DD2"/>
    <w:rsid w:val="00EA16D9"/>
    <w:rsid w:val="00EA1850"/>
    <w:rsid w:val="00EA5851"/>
    <w:rsid w:val="00EA5B4B"/>
    <w:rsid w:val="00EA66E7"/>
    <w:rsid w:val="00EC213C"/>
    <w:rsid w:val="00ED2125"/>
    <w:rsid w:val="00ED35D6"/>
    <w:rsid w:val="00ED39F5"/>
    <w:rsid w:val="00EE03FA"/>
    <w:rsid w:val="00EE0C6D"/>
    <w:rsid w:val="00EE244E"/>
    <w:rsid w:val="00EE3309"/>
    <w:rsid w:val="00EF47A4"/>
    <w:rsid w:val="00F0414D"/>
    <w:rsid w:val="00F045C0"/>
    <w:rsid w:val="00F04B20"/>
    <w:rsid w:val="00F11C1B"/>
    <w:rsid w:val="00F123B4"/>
    <w:rsid w:val="00F12861"/>
    <w:rsid w:val="00F20D83"/>
    <w:rsid w:val="00F21332"/>
    <w:rsid w:val="00F235F1"/>
    <w:rsid w:val="00F25FD4"/>
    <w:rsid w:val="00F271DC"/>
    <w:rsid w:val="00F35194"/>
    <w:rsid w:val="00F37F97"/>
    <w:rsid w:val="00F4199E"/>
    <w:rsid w:val="00F45F62"/>
    <w:rsid w:val="00F46215"/>
    <w:rsid w:val="00F51EC8"/>
    <w:rsid w:val="00F525C7"/>
    <w:rsid w:val="00F55A14"/>
    <w:rsid w:val="00F605E0"/>
    <w:rsid w:val="00F63CD3"/>
    <w:rsid w:val="00F7114C"/>
    <w:rsid w:val="00F759FF"/>
    <w:rsid w:val="00F75E01"/>
    <w:rsid w:val="00F7756E"/>
    <w:rsid w:val="00F8031B"/>
    <w:rsid w:val="00F80D63"/>
    <w:rsid w:val="00F84755"/>
    <w:rsid w:val="00F857EB"/>
    <w:rsid w:val="00F86CB3"/>
    <w:rsid w:val="00F87F45"/>
    <w:rsid w:val="00F90787"/>
    <w:rsid w:val="00F952F9"/>
    <w:rsid w:val="00FA5E8F"/>
    <w:rsid w:val="00FA6089"/>
    <w:rsid w:val="00FB0CF5"/>
    <w:rsid w:val="00FB0FD8"/>
    <w:rsid w:val="00FB2E9E"/>
    <w:rsid w:val="00FB5A8F"/>
    <w:rsid w:val="00FB6118"/>
    <w:rsid w:val="00FC2F95"/>
    <w:rsid w:val="00FC3872"/>
    <w:rsid w:val="00FD1857"/>
    <w:rsid w:val="00FD1CB2"/>
    <w:rsid w:val="00FD318D"/>
    <w:rsid w:val="00FD34A5"/>
    <w:rsid w:val="00FD35D2"/>
    <w:rsid w:val="00FD595C"/>
    <w:rsid w:val="00FD6DCC"/>
    <w:rsid w:val="00FD73E6"/>
    <w:rsid w:val="00FE09C8"/>
    <w:rsid w:val="00FE0AA0"/>
    <w:rsid w:val="00FE3237"/>
    <w:rsid w:val="00FE3591"/>
    <w:rsid w:val="00FF16F8"/>
    <w:rsid w:val="00FF3D00"/>
    <w:rsid w:val="00FF6B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770830A-A909-4460-8382-8218FC1F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Arial"/>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Titre1">
    <w:name w:val="heading 1"/>
    <w:basedOn w:val="Normal"/>
    <w:next w:val="Normal"/>
    <w:link w:val="Titre1C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Titre2">
    <w:name w:val="heading 2"/>
    <w:basedOn w:val="Normal"/>
    <w:next w:val="Normal"/>
    <w:link w:val="Titre2C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Titre3">
    <w:name w:val="heading 3"/>
    <w:basedOn w:val="Normal"/>
    <w:next w:val="Normal"/>
    <w:link w:val="Titre3Car"/>
    <w:uiPriority w:val="9"/>
    <w:qFormat/>
    <w:rsid w:val="005860F9"/>
    <w:pPr>
      <w:keepNext/>
      <w:keepLines/>
      <w:spacing w:before="40"/>
      <w:outlineLvl w:val="2"/>
    </w:pPr>
    <w:rPr>
      <w:rFonts w:ascii="Calibri" w:eastAsia="MS Gothic" w:hAnsi="Calibri" w:cs="Times New Roman"/>
      <w:color w:val="243F60"/>
    </w:rPr>
  </w:style>
  <w:style w:type="paragraph" w:styleId="Titre4">
    <w:name w:val="heading 4"/>
    <w:basedOn w:val="Normal"/>
    <w:next w:val="Normal"/>
    <w:link w:val="Titre4Car"/>
    <w:uiPriority w:val="9"/>
    <w:rsid w:val="005860F9"/>
    <w:pPr>
      <w:keepNext/>
      <w:keepLines/>
      <w:spacing w:before="40"/>
      <w:outlineLvl w:val="3"/>
    </w:pPr>
    <w:rPr>
      <w:rFonts w:ascii="Calibri" w:eastAsia="MS Gothic" w:hAnsi="Calibri" w:cs="Times New Roman"/>
      <w:i/>
      <w:iCs/>
      <w:color w:val="365F91"/>
    </w:rPr>
  </w:style>
  <w:style w:type="paragraph" w:styleId="Titre5">
    <w:name w:val="heading 5"/>
    <w:basedOn w:val="Normal"/>
    <w:next w:val="Normal"/>
    <w:link w:val="Titre5Car"/>
    <w:uiPriority w:val="9"/>
    <w:rsid w:val="005860F9"/>
    <w:pPr>
      <w:keepNext/>
      <w:keepLines/>
      <w:spacing w:before="40"/>
      <w:outlineLvl w:val="4"/>
    </w:pPr>
    <w:rPr>
      <w:rFonts w:ascii="Calibri" w:eastAsia="MS Gothic" w:hAnsi="Calibri" w:cs="Times New Roman"/>
      <w:color w:val="365F91"/>
    </w:rPr>
  </w:style>
  <w:style w:type="paragraph" w:styleId="Titre6">
    <w:name w:val="heading 6"/>
    <w:basedOn w:val="Normal"/>
    <w:next w:val="Normal"/>
    <w:link w:val="Titre6Car"/>
    <w:uiPriority w:val="9"/>
    <w:rsid w:val="005860F9"/>
    <w:pPr>
      <w:keepNext/>
      <w:keepLines/>
      <w:spacing w:before="40"/>
      <w:outlineLvl w:val="5"/>
    </w:pPr>
    <w:rPr>
      <w:rFonts w:ascii="Calibri" w:eastAsia="MS Gothic" w:hAnsi="Calibri" w:cs="Times New Roman"/>
      <w:color w:val="243F60"/>
    </w:rPr>
  </w:style>
  <w:style w:type="paragraph" w:styleId="Titre7">
    <w:name w:val="heading 7"/>
    <w:basedOn w:val="Normal"/>
    <w:next w:val="Normal"/>
    <w:link w:val="Titre7Car"/>
    <w:uiPriority w:val="9"/>
    <w:rsid w:val="005860F9"/>
    <w:pPr>
      <w:keepNext/>
      <w:keepLines/>
      <w:spacing w:before="40"/>
      <w:outlineLvl w:val="6"/>
    </w:pPr>
    <w:rPr>
      <w:rFonts w:ascii="Calibri" w:eastAsia="MS Gothic" w:hAnsi="Calibri" w:cs="Times New Roman"/>
      <w:i/>
      <w:iCs/>
      <w:color w:val="243F60"/>
    </w:rPr>
  </w:style>
  <w:style w:type="paragraph" w:styleId="Titre8">
    <w:name w:val="heading 8"/>
    <w:basedOn w:val="Normal"/>
    <w:next w:val="Normal"/>
    <w:link w:val="Titre8Car"/>
    <w:uiPriority w:val="9"/>
    <w:rsid w:val="005860F9"/>
    <w:pPr>
      <w:keepNext/>
      <w:keepLines/>
      <w:spacing w:before="40"/>
      <w:outlineLvl w:val="7"/>
    </w:pPr>
    <w:rPr>
      <w:rFonts w:ascii="Calibri" w:eastAsia="MS Gothic" w:hAnsi="Calibri" w:cs="Times New Roman"/>
      <w:color w:val="272727"/>
      <w:sz w:val="21"/>
      <w:szCs w:val="21"/>
    </w:rPr>
  </w:style>
  <w:style w:type="paragraph" w:styleId="Titre9">
    <w:name w:val="heading 9"/>
    <w:basedOn w:val="Normal"/>
    <w:next w:val="Normal"/>
    <w:link w:val="Titre9C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47D13"/>
    <w:pPr>
      <w:tabs>
        <w:tab w:val="center" w:pos="4320"/>
        <w:tab w:val="right" w:pos="8640"/>
      </w:tabs>
    </w:pPr>
  </w:style>
  <w:style w:type="character" w:customStyle="1" w:styleId="En-tteCar">
    <w:name w:val="En-tête Car"/>
    <w:link w:val="En-tte"/>
    <w:rsid w:val="00347D13"/>
    <w:rPr>
      <w:rFonts w:ascii="Myriad Pro SemiCond" w:eastAsia="Times New Roman" w:hAnsi="Myriad Pro SemiCond" w:cs="Times New Roman"/>
      <w:sz w:val="22"/>
      <w:szCs w:val="22"/>
      <w:lang w:val="en-GB" w:bidi="en-US"/>
    </w:rPr>
  </w:style>
  <w:style w:type="paragraph" w:styleId="Pieddepage">
    <w:name w:val="footer"/>
    <w:basedOn w:val="Normal"/>
    <w:link w:val="PieddepageCar"/>
    <w:uiPriority w:val="99"/>
    <w:rsid w:val="00347D13"/>
    <w:pPr>
      <w:tabs>
        <w:tab w:val="center" w:pos="4320"/>
        <w:tab w:val="right" w:pos="8640"/>
      </w:tabs>
    </w:pPr>
  </w:style>
  <w:style w:type="character" w:customStyle="1" w:styleId="PieddepageCar">
    <w:name w:val="Pied de page Car"/>
    <w:link w:val="Pieddepage"/>
    <w:uiPriority w:val="99"/>
    <w:rsid w:val="00347D13"/>
    <w:rPr>
      <w:rFonts w:ascii="Myriad Pro SemiCond" w:eastAsia="Times New Roman" w:hAnsi="Myriad Pro SemiCond" w:cs="Times New Roman"/>
      <w:sz w:val="22"/>
      <w:szCs w:val="22"/>
      <w:lang w:val="en-GB" w:bidi="en-US"/>
    </w:rPr>
  </w:style>
  <w:style w:type="paragraph" w:styleId="Titre">
    <w:name w:val="Title"/>
    <w:next w:val="Normal"/>
    <w:link w:val="TitreC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reCar">
    <w:name w:val="Titre Car"/>
    <w:link w:val="Titr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r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Textedebulles">
    <w:name w:val="Balloon Text"/>
    <w:basedOn w:val="Normal"/>
    <w:link w:val="TextedebullesCar"/>
    <w:uiPriority w:val="99"/>
    <w:semiHidden/>
    <w:unhideWhenUsed/>
    <w:rsid w:val="00347D13"/>
    <w:rPr>
      <w:rFonts w:ascii="Lucida Grande" w:hAnsi="Lucida Grande" w:cs="Lucida Grande"/>
      <w:sz w:val="18"/>
      <w:szCs w:val="18"/>
    </w:rPr>
  </w:style>
  <w:style w:type="character" w:customStyle="1" w:styleId="TextedebullesCar">
    <w:name w:val="Texte de bulles Car"/>
    <w:link w:val="Textedebulles"/>
    <w:uiPriority w:val="99"/>
    <w:semiHidden/>
    <w:rsid w:val="00347D13"/>
    <w:rPr>
      <w:rFonts w:ascii="Lucida Grande" w:eastAsia="Times New Roman" w:hAnsi="Lucida Grande" w:cs="Lucida Grande"/>
      <w:sz w:val="18"/>
      <w:szCs w:val="18"/>
      <w:lang w:val="en-GB" w:bidi="en-US"/>
    </w:rPr>
  </w:style>
  <w:style w:type="character" w:styleId="Lienhypertexte">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Titre2Car">
    <w:name w:val="Titre 2 Car"/>
    <w:link w:val="Titre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Marquedecommentaire">
    <w:name w:val="annotation reference"/>
    <w:uiPriority w:val="99"/>
    <w:semiHidden/>
    <w:unhideWhenUsed/>
    <w:rsid w:val="008C32AA"/>
    <w:rPr>
      <w:sz w:val="16"/>
      <w:szCs w:val="16"/>
    </w:rPr>
  </w:style>
  <w:style w:type="paragraph" w:styleId="Commentaire">
    <w:name w:val="annotation text"/>
    <w:basedOn w:val="Normal"/>
    <w:link w:val="CommentaireCar"/>
    <w:uiPriority w:val="99"/>
    <w:semiHidden/>
    <w:unhideWhenUsed/>
    <w:rsid w:val="008C32AA"/>
    <w:rPr>
      <w:sz w:val="20"/>
      <w:szCs w:val="20"/>
    </w:rPr>
  </w:style>
  <w:style w:type="character" w:customStyle="1" w:styleId="CommentaireCar">
    <w:name w:val="Commentaire Car"/>
    <w:link w:val="Commentaire"/>
    <w:uiPriority w:val="99"/>
    <w:semiHidden/>
    <w:rsid w:val="008C32AA"/>
    <w:rPr>
      <w:rFonts w:ascii="Myriad Pro SemiCond" w:eastAsia="Times New Roman" w:hAnsi="Myriad Pro SemiCond" w:cs="Times New Roman"/>
      <w:sz w:val="20"/>
      <w:szCs w:val="20"/>
      <w:lang w:val="en-GB" w:bidi="en-US"/>
    </w:rPr>
  </w:style>
  <w:style w:type="paragraph" w:styleId="Objetducommentaire">
    <w:name w:val="annotation subject"/>
    <w:basedOn w:val="Commentaire"/>
    <w:next w:val="Commentaire"/>
    <w:link w:val="ObjetducommentaireCar"/>
    <w:uiPriority w:val="99"/>
    <w:semiHidden/>
    <w:unhideWhenUsed/>
    <w:rsid w:val="008C32AA"/>
    <w:rPr>
      <w:b/>
      <w:bCs/>
    </w:rPr>
  </w:style>
  <w:style w:type="character" w:customStyle="1" w:styleId="ObjetducommentaireCar">
    <w:name w:val="Objet du commentaire Car"/>
    <w:link w:val="Objetducommentaire"/>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Titre1Car">
    <w:name w:val="Titre 1 Car"/>
    <w:link w:val="Titre1"/>
    <w:uiPriority w:val="9"/>
    <w:rsid w:val="00FF3D00"/>
    <w:rPr>
      <w:rFonts w:ascii="Franklin Gothic Medium" w:eastAsia="MS Gothic" w:hAnsi="Franklin Gothic Medium" w:cs="Times New Roman"/>
      <w:color w:val="1A4066"/>
      <w:sz w:val="36"/>
      <w:szCs w:val="44"/>
      <w:lang w:val="en-US"/>
    </w:rPr>
  </w:style>
  <w:style w:type="paragraph" w:styleId="Lgende">
    <w:name w:val="caption"/>
    <w:basedOn w:val="Normal"/>
    <w:next w:val="Normal"/>
    <w:uiPriority w:val="35"/>
    <w:rsid w:val="005860F9"/>
    <w:pPr>
      <w:spacing w:after="200"/>
    </w:pPr>
    <w:rPr>
      <w:i/>
      <w:iCs/>
      <w:color w:val="1F497D"/>
      <w:sz w:val="18"/>
      <w:szCs w:val="18"/>
    </w:rPr>
  </w:style>
  <w:style w:type="character" w:styleId="Numrodepage">
    <w:name w:val="page number"/>
    <w:basedOn w:val="Policepardfaut"/>
    <w:uiPriority w:val="99"/>
    <w:semiHidden/>
    <w:unhideWhenUsed/>
    <w:rsid w:val="002072AF"/>
  </w:style>
  <w:style w:type="character" w:styleId="Lienhypertextesuivivisit">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Titre3Car">
    <w:name w:val="Titre 3 Car"/>
    <w:link w:val="Titre3"/>
    <w:uiPriority w:val="9"/>
    <w:rsid w:val="005860F9"/>
    <w:rPr>
      <w:rFonts w:ascii="Calibri" w:eastAsia="MS Gothic" w:hAnsi="Calibri" w:cs="Times New Roman"/>
      <w:color w:val="243F60"/>
    </w:rPr>
  </w:style>
  <w:style w:type="character" w:customStyle="1" w:styleId="Titre4Car">
    <w:name w:val="Titre 4 Car"/>
    <w:link w:val="Titre4"/>
    <w:uiPriority w:val="9"/>
    <w:semiHidden/>
    <w:rsid w:val="005860F9"/>
    <w:rPr>
      <w:rFonts w:ascii="Calibri" w:eastAsia="MS Gothic" w:hAnsi="Calibri" w:cs="Times New Roman"/>
      <w:i/>
      <w:iCs/>
      <w:color w:val="365F91"/>
    </w:rPr>
  </w:style>
  <w:style w:type="character" w:customStyle="1" w:styleId="Titre5Car">
    <w:name w:val="Titre 5 Car"/>
    <w:link w:val="Titre5"/>
    <w:uiPriority w:val="9"/>
    <w:semiHidden/>
    <w:rsid w:val="005860F9"/>
    <w:rPr>
      <w:rFonts w:ascii="Calibri" w:eastAsia="MS Gothic" w:hAnsi="Calibri" w:cs="Times New Roman"/>
      <w:color w:val="365F91"/>
    </w:rPr>
  </w:style>
  <w:style w:type="character" w:customStyle="1" w:styleId="Titre6Car">
    <w:name w:val="Titre 6 Car"/>
    <w:link w:val="Titre6"/>
    <w:uiPriority w:val="9"/>
    <w:semiHidden/>
    <w:rsid w:val="005860F9"/>
    <w:rPr>
      <w:rFonts w:ascii="Calibri" w:eastAsia="MS Gothic" w:hAnsi="Calibri" w:cs="Times New Roman"/>
      <w:color w:val="243F60"/>
    </w:rPr>
  </w:style>
  <w:style w:type="character" w:customStyle="1" w:styleId="Titre7Car">
    <w:name w:val="Titre 7 Car"/>
    <w:link w:val="Titre7"/>
    <w:uiPriority w:val="9"/>
    <w:semiHidden/>
    <w:rsid w:val="005860F9"/>
    <w:rPr>
      <w:rFonts w:ascii="Calibri" w:eastAsia="MS Gothic" w:hAnsi="Calibri" w:cs="Times New Roman"/>
      <w:i/>
      <w:iCs/>
      <w:color w:val="243F60"/>
    </w:rPr>
  </w:style>
  <w:style w:type="character" w:customStyle="1" w:styleId="Titre8Car">
    <w:name w:val="Titre 8 Car"/>
    <w:link w:val="Titre8"/>
    <w:uiPriority w:val="9"/>
    <w:semiHidden/>
    <w:rsid w:val="005860F9"/>
    <w:rPr>
      <w:rFonts w:ascii="Calibri" w:eastAsia="MS Gothic" w:hAnsi="Calibri" w:cs="Times New Roman"/>
      <w:color w:val="272727"/>
      <w:sz w:val="21"/>
      <w:szCs w:val="21"/>
    </w:rPr>
  </w:style>
  <w:style w:type="character" w:customStyle="1" w:styleId="Titre9Car">
    <w:name w:val="Titre 9 Car"/>
    <w:link w:val="Titre9"/>
    <w:uiPriority w:val="9"/>
    <w:semiHidden/>
    <w:rsid w:val="005860F9"/>
    <w:rPr>
      <w:rFonts w:ascii="Calibri" w:eastAsia="MS Gothic" w:hAnsi="Calibri" w:cs="Times New Roman"/>
      <w:i/>
      <w:iCs/>
      <w:color w:val="272727"/>
      <w:sz w:val="21"/>
      <w:szCs w:val="21"/>
    </w:rPr>
  </w:style>
  <w:style w:type="paragraph" w:styleId="Sous-titre">
    <w:name w:val="Subtitle"/>
    <w:next w:val="Normal"/>
    <w:link w:val="Sous-titreCar"/>
    <w:uiPriority w:val="11"/>
    <w:rsid w:val="005860F9"/>
    <w:pPr>
      <w:numPr>
        <w:ilvl w:val="1"/>
      </w:numPr>
      <w:spacing w:after="160"/>
    </w:pPr>
    <w:rPr>
      <w:rFonts w:eastAsia="MS Mincho"/>
      <w:color w:val="5A5A5A"/>
      <w:spacing w:val="15"/>
      <w:sz w:val="22"/>
      <w:szCs w:val="22"/>
      <w:lang w:val="en-US"/>
    </w:rPr>
  </w:style>
  <w:style w:type="character" w:customStyle="1" w:styleId="Sous-titreCar">
    <w:name w:val="Sous-titre Car"/>
    <w:link w:val="Sous-titre"/>
    <w:uiPriority w:val="11"/>
    <w:rsid w:val="005860F9"/>
    <w:rPr>
      <w:rFonts w:eastAsia="MS Mincho"/>
      <w:color w:val="5A5A5A"/>
      <w:spacing w:val="15"/>
      <w:sz w:val="22"/>
      <w:szCs w:val="22"/>
    </w:rPr>
  </w:style>
  <w:style w:type="character" w:styleId="lev">
    <w:name w:val="Strong"/>
    <w:uiPriority w:val="22"/>
    <w:qFormat/>
    <w:rsid w:val="005860F9"/>
    <w:rPr>
      <w:b/>
      <w:bCs/>
    </w:rPr>
  </w:style>
  <w:style w:type="character" w:styleId="Accentuation">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Titre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Sansinterligne">
    <w:name w:val="No Spacing"/>
    <w:link w:val="SansinterligneCar"/>
    <w:uiPriority w:val="1"/>
    <w:qFormat/>
    <w:rsid w:val="008820B8"/>
    <w:rPr>
      <w:sz w:val="24"/>
      <w:szCs w:val="24"/>
      <w:lang w:val="en-US"/>
    </w:rPr>
  </w:style>
  <w:style w:type="character" w:styleId="Titredulivre">
    <w:name w:val="Book Title"/>
    <w:uiPriority w:val="69"/>
    <w:rsid w:val="008820B8"/>
    <w:rPr>
      <w:b/>
      <w:bCs/>
      <w:i/>
      <w:iCs/>
      <w:spacing w:val="5"/>
    </w:rPr>
  </w:style>
  <w:style w:type="paragraph" w:styleId="Citationintense">
    <w:name w:val="Intense Quote"/>
    <w:basedOn w:val="Normal"/>
    <w:next w:val="Normal"/>
    <w:link w:val="CitationintenseC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60"/>
    <w:rsid w:val="008820B8"/>
    <w:rPr>
      <w:i/>
      <w:iCs/>
      <w:color w:val="4472C4"/>
      <w:sz w:val="24"/>
      <w:szCs w:val="24"/>
      <w:lang w:val="en-US"/>
    </w:rPr>
  </w:style>
  <w:style w:type="character" w:styleId="Emphaseple">
    <w:name w:val="Subtle Emphasis"/>
    <w:uiPriority w:val="65"/>
    <w:rsid w:val="008820B8"/>
    <w:rPr>
      <w:i/>
      <w:iCs/>
      <w:color w:val="404040"/>
    </w:rPr>
  </w:style>
  <w:style w:type="character" w:styleId="Emphaseintense">
    <w:name w:val="Intense Emphasis"/>
    <w:uiPriority w:val="66"/>
    <w:rsid w:val="008820B8"/>
    <w:rPr>
      <w:i/>
      <w:iCs/>
      <w:color w:val="4472C4"/>
    </w:rPr>
  </w:style>
  <w:style w:type="character" w:styleId="Rfrenceple">
    <w:name w:val="Subtle Reference"/>
    <w:uiPriority w:val="67"/>
    <w:rsid w:val="008820B8"/>
    <w:rPr>
      <w:smallCaps/>
      <w:color w:val="5A5A5A"/>
    </w:rPr>
  </w:style>
  <w:style w:type="character" w:styleId="Rfrenceintense">
    <w:name w:val="Intense Reference"/>
    <w:uiPriority w:val="68"/>
    <w:rsid w:val="008820B8"/>
    <w:rPr>
      <w:b/>
      <w:bCs/>
      <w:smallCaps/>
      <w:color w:val="4472C4"/>
      <w:spacing w:val="5"/>
    </w:rPr>
  </w:style>
  <w:style w:type="paragraph" w:styleId="Paragraphedeliste">
    <w:name w:val="List Paragraph"/>
    <w:aliases w:val="123 List Paragraph,Akapit z listą BS,Bullets,List Paragraph (numbered (a)),List Paragraph nowy,List Paragraph1,List_Paragraph,Liste 1,Medium Grid 1 - Accent 21,Multilevel para_II,Numbered List Paragraph,References,ReferencesCxSpLast"/>
    <w:basedOn w:val="Normal"/>
    <w:link w:val="ParagraphedelisteCar"/>
    <w:uiPriority w:val="34"/>
    <w:qFormat/>
    <w:rsid w:val="008820B8"/>
    <w:pPr>
      <w:ind w:left="720"/>
    </w:pPr>
  </w:style>
  <w:style w:type="paragraph" w:styleId="Citation">
    <w:name w:val="Quote"/>
    <w:basedOn w:val="Normal"/>
    <w:next w:val="Normal"/>
    <w:link w:val="CitationCar"/>
    <w:uiPriority w:val="73"/>
    <w:rsid w:val="008820B8"/>
    <w:pPr>
      <w:spacing w:before="200" w:after="160"/>
      <w:ind w:left="864" w:right="864"/>
      <w:jc w:val="center"/>
    </w:pPr>
    <w:rPr>
      <w:i/>
      <w:iCs/>
      <w:color w:val="404040"/>
    </w:rPr>
  </w:style>
  <w:style w:type="character" w:customStyle="1" w:styleId="CitationCar">
    <w:name w:val="Citation Car"/>
    <w:link w:val="Citation"/>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Titre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Grilledutableau">
    <w:name w:val="Table Grid"/>
    <w:basedOn w:val="TableauNormal"/>
    <w:uiPriority w:val="39"/>
    <w:rsid w:val="00B108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M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 w:type="table" w:customStyle="1" w:styleId="Grilledutableau1">
    <w:name w:val="Grille du tableau1"/>
    <w:basedOn w:val="TableauNormal"/>
    <w:next w:val="Grilledutableau"/>
    <w:uiPriority w:val="39"/>
    <w:rsid w:val="00081DB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pNormal1">
    <w:name w:val="TempNormal 1"/>
    <w:basedOn w:val="Normal"/>
    <w:uiPriority w:val="99"/>
    <w:rsid w:val="00C627DF"/>
    <w:pPr>
      <w:tabs>
        <w:tab w:val="left" w:pos="-450"/>
        <w:tab w:val="left" w:pos="-180"/>
      </w:tabs>
      <w:spacing w:before="0" w:after="0" w:line="240" w:lineRule="exact"/>
      <w:ind w:right="86"/>
    </w:pPr>
    <w:rPr>
      <w:rFonts w:ascii="Tahoma" w:eastAsia="Times New Roman" w:hAnsi="Tahoma" w:cs="Tahoma"/>
      <w:sz w:val="16"/>
      <w:szCs w:val="16"/>
      <w:lang w:eastAsia="fr-FR"/>
    </w:rPr>
  </w:style>
  <w:style w:type="table" w:customStyle="1" w:styleId="Listeclaire-Accent51">
    <w:name w:val="Liste claire - Accent 51"/>
    <w:basedOn w:val="TableauNormal"/>
    <w:next w:val="Listeclaire-Accent5"/>
    <w:uiPriority w:val="61"/>
    <w:rsid w:val="00C627DF"/>
    <w:rPr>
      <w:rFonts w:asciiTheme="minorHAnsi" w:eastAsia="Calibri" w:hAnsiTheme="minorHAnsi" w:cstheme="minorBidi"/>
      <w:sz w:val="22"/>
      <w:szCs w:val="22"/>
      <w:lang w:val="fr-FR" w:eastAsia="fr-FR"/>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Notedebasdepage">
    <w:name w:val="footnote text"/>
    <w:basedOn w:val="Normal"/>
    <w:link w:val="NotedebasdepageCar"/>
    <w:uiPriority w:val="99"/>
    <w:rsid w:val="00C627DF"/>
    <w:pPr>
      <w:widowControl w:val="0"/>
      <w:spacing w:before="0" w:after="0"/>
      <w:jc w:val="both"/>
    </w:pPr>
    <w:rPr>
      <w:rFonts w:ascii="Times New Roman" w:eastAsia="Times New Roman" w:hAnsi="Times New Roman" w:cs="Times New Roman"/>
      <w:snapToGrid w:val="0"/>
      <w:kern w:val="28"/>
      <w:sz w:val="20"/>
      <w:szCs w:val="20"/>
      <w:lang w:val="fr-FR" w:eastAsia="fr-FR"/>
    </w:rPr>
  </w:style>
  <w:style w:type="character" w:customStyle="1" w:styleId="NotedebasdepageCar">
    <w:name w:val="Note de bas de page Car"/>
    <w:basedOn w:val="Policepardfaut"/>
    <w:link w:val="Notedebasdepage"/>
    <w:uiPriority w:val="99"/>
    <w:rsid w:val="00C627DF"/>
    <w:rPr>
      <w:rFonts w:ascii="Times New Roman" w:eastAsia="Times New Roman" w:hAnsi="Times New Roman" w:cs="Times New Roman"/>
      <w:snapToGrid w:val="0"/>
      <w:kern w:val="28"/>
      <w:lang w:val="fr-FR" w:eastAsia="fr-FR"/>
    </w:rPr>
  </w:style>
  <w:style w:type="character" w:styleId="Appelnotedebasdep">
    <w:name w:val="footnote reference"/>
    <w:basedOn w:val="Policepardfaut"/>
    <w:uiPriority w:val="99"/>
    <w:rsid w:val="00C627DF"/>
    <w:rPr>
      <w:vertAlign w:val="superscript"/>
    </w:rPr>
  </w:style>
  <w:style w:type="paragraph" w:customStyle="1" w:styleId="Lgende1">
    <w:name w:val="Légende1"/>
    <w:basedOn w:val="Normal"/>
    <w:next w:val="Normal"/>
    <w:uiPriority w:val="35"/>
    <w:unhideWhenUsed/>
    <w:qFormat/>
    <w:rsid w:val="00C627DF"/>
    <w:pPr>
      <w:widowControl w:val="0"/>
      <w:spacing w:before="0" w:after="200"/>
      <w:jc w:val="both"/>
    </w:pPr>
    <w:rPr>
      <w:rFonts w:ascii="Times New Roman" w:eastAsia="Times New Roman" w:hAnsi="Times New Roman" w:cs="Times New Roman"/>
      <w:b/>
      <w:bCs/>
      <w:snapToGrid w:val="0"/>
      <w:color w:val="5B9BD5"/>
      <w:kern w:val="28"/>
      <w:sz w:val="18"/>
      <w:szCs w:val="18"/>
      <w:lang w:val="fr-FR" w:eastAsia="fr-FR"/>
    </w:rPr>
  </w:style>
  <w:style w:type="table" w:styleId="Listeclaire-Accent5">
    <w:name w:val="Light List Accent 5"/>
    <w:basedOn w:val="TableauNormal"/>
    <w:uiPriority w:val="61"/>
    <w:rsid w:val="00C627DF"/>
    <w:rPr>
      <w:rFonts w:asciiTheme="minorHAnsi" w:eastAsiaTheme="minorEastAsia" w:hAnsiTheme="minorHAnsi" w:cstheme="minorBidi"/>
      <w:sz w:val="22"/>
      <w:szCs w:val="22"/>
      <w:lang w:val="fr-FR" w:eastAsia="fr-FR"/>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rformatHTML">
    <w:name w:val="HTML Preformatted"/>
    <w:basedOn w:val="Normal"/>
    <w:link w:val="PrformatHTMLCar"/>
    <w:uiPriority w:val="99"/>
    <w:rsid w:val="00C6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Times New Roman"/>
      <w:sz w:val="20"/>
      <w:szCs w:val="20"/>
    </w:rPr>
  </w:style>
  <w:style w:type="character" w:customStyle="1" w:styleId="PrformatHTMLCar">
    <w:name w:val="Préformaté HTML Car"/>
    <w:basedOn w:val="Policepardfaut"/>
    <w:link w:val="PrformatHTML"/>
    <w:uiPriority w:val="99"/>
    <w:rsid w:val="00C627DF"/>
    <w:rPr>
      <w:rFonts w:ascii="Courier New" w:eastAsia="Times New Roman" w:hAnsi="Courier New" w:cs="Times New Roman"/>
      <w:lang w:val="en-US"/>
    </w:rPr>
  </w:style>
  <w:style w:type="paragraph" w:customStyle="1" w:styleId="BPuce2">
    <w:name w:val="B. Puce 2"/>
    <w:basedOn w:val="Paragraphedeliste"/>
    <w:qFormat/>
    <w:rsid w:val="00C627DF"/>
    <w:pPr>
      <w:numPr>
        <w:numId w:val="4"/>
      </w:numPr>
      <w:spacing w:before="40" w:after="0"/>
      <w:ind w:left="567" w:hanging="170"/>
      <w:jc w:val="both"/>
    </w:pPr>
    <w:rPr>
      <w:rFonts w:asciiTheme="minorHAnsi" w:eastAsiaTheme="minorHAnsi" w:hAnsiTheme="minorHAnsi" w:cstheme="minorBidi"/>
      <w:sz w:val="23"/>
      <w:szCs w:val="23"/>
      <w:lang w:val="fr-FR"/>
    </w:rPr>
  </w:style>
  <w:style w:type="paragraph" w:customStyle="1" w:styleId="BPuce1">
    <w:name w:val="B. Puce 1"/>
    <w:basedOn w:val="Paragraphedeliste"/>
    <w:qFormat/>
    <w:rsid w:val="00C627DF"/>
    <w:pPr>
      <w:numPr>
        <w:numId w:val="3"/>
      </w:numPr>
      <w:spacing w:before="60" w:after="0"/>
      <w:ind w:left="284" w:hanging="142"/>
      <w:jc w:val="both"/>
    </w:pPr>
    <w:rPr>
      <w:rFonts w:asciiTheme="minorHAnsi" w:eastAsiaTheme="minorHAnsi" w:hAnsiTheme="minorHAnsi" w:cstheme="minorBidi"/>
      <w:sz w:val="24"/>
      <w:lang w:val="fr-FR"/>
    </w:rPr>
  </w:style>
  <w:style w:type="paragraph" w:customStyle="1" w:styleId="Default">
    <w:name w:val="Default"/>
    <w:rsid w:val="00C627DF"/>
    <w:pPr>
      <w:autoSpaceDE w:val="0"/>
      <w:autoSpaceDN w:val="0"/>
      <w:adjustRightInd w:val="0"/>
    </w:pPr>
    <w:rPr>
      <w:rFonts w:ascii="Arial" w:eastAsiaTheme="minorHAnsi" w:hAnsi="Arial"/>
      <w:color w:val="000000"/>
      <w:sz w:val="24"/>
      <w:szCs w:val="24"/>
      <w:lang w:val="fr-FR"/>
    </w:rPr>
  </w:style>
  <w:style w:type="character" w:customStyle="1" w:styleId="SansinterligneCar">
    <w:name w:val="Sans interligne Car"/>
    <w:basedOn w:val="Policepardfaut"/>
    <w:link w:val="Sansinterligne"/>
    <w:uiPriority w:val="1"/>
    <w:rsid w:val="00C627DF"/>
    <w:rPr>
      <w:sz w:val="24"/>
      <w:szCs w:val="24"/>
      <w:lang w:val="en-US"/>
    </w:rPr>
  </w:style>
  <w:style w:type="character" w:customStyle="1" w:styleId="ParagraphedelisteCar">
    <w:name w:val="Paragraphe de liste Car"/>
    <w:aliases w:val="123 List Paragraph Car,Akapit z listą BS Car,Bullets Car,List Paragraph (numbered (a)) Car,List Paragraph nowy Car,List Paragraph1 Car,List_Paragraph Car,Liste 1 Car,Medium Grid 1 - Accent 21 Car,Multilevel para_II Car"/>
    <w:link w:val="Paragraphedeliste"/>
    <w:uiPriority w:val="34"/>
    <w:qFormat/>
    <w:rsid w:val="00C627DF"/>
    <w:rPr>
      <w:rFonts w:ascii="Franklin Gothic Book" w:hAnsi="Franklin Gothic Book"/>
      <w:sz w:val="22"/>
      <w:szCs w:val="24"/>
      <w:lang w:val="en-US"/>
    </w:rPr>
  </w:style>
  <w:style w:type="paragraph" w:styleId="TM3">
    <w:name w:val="toc 3"/>
    <w:basedOn w:val="Normal"/>
    <w:next w:val="Normal"/>
    <w:autoRedefine/>
    <w:uiPriority w:val="39"/>
    <w:unhideWhenUsed/>
    <w:rsid w:val="00C627DF"/>
    <w:pPr>
      <w:spacing w:before="0" w:after="100" w:line="259" w:lineRule="auto"/>
      <w:ind w:left="440"/>
    </w:pPr>
    <w:rPr>
      <w:rFonts w:asciiTheme="minorHAnsi" w:eastAsiaTheme="minorEastAsia" w:hAnsiTheme="minorHAnsi" w:cs="Times New Roman"/>
      <w:szCs w:val="22"/>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389378053">
      <w:bodyDiv w:val="1"/>
      <w:marLeft w:val="0"/>
      <w:marRight w:val="0"/>
      <w:marTop w:val="0"/>
      <w:marBottom w:val="0"/>
      <w:divBdr>
        <w:top w:val="none" w:sz="0" w:space="0" w:color="auto"/>
        <w:left w:val="none" w:sz="0" w:space="0" w:color="auto"/>
        <w:bottom w:val="none" w:sz="0" w:space="0" w:color="auto"/>
        <w:right w:val="none" w:sz="0" w:space="0" w:color="auto"/>
      </w:divBdr>
      <w:divsChild>
        <w:div w:id="930355845">
          <w:marLeft w:val="0"/>
          <w:marRight w:val="0"/>
          <w:marTop w:val="0"/>
          <w:marBottom w:val="0"/>
          <w:divBdr>
            <w:top w:val="none" w:sz="0" w:space="0" w:color="auto"/>
            <w:left w:val="none" w:sz="0" w:space="0" w:color="auto"/>
            <w:bottom w:val="none" w:sz="0" w:space="0" w:color="auto"/>
            <w:right w:val="none" w:sz="0" w:space="0" w:color="auto"/>
          </w:divBdr>
          <w:divsChild>
            <w:div w:id="605768811">
              <w:marLeft w:val="0"/>
              <w:marRight w:val="0"/>
              <w:marTop w:val="0"/>
              <w:marBottom w:val="0"/>
              <w:divBdr>
                <w:top w:val="none" w:sz="0" w:space="0" w:color="auto"/>
                <w:left w:val="none" w:sz="0" w:space="0" w:color="auto"/>
                <w:bottom w:val="none" w:sz="0" w:space="0" w:color="auto"/>
                <w:right w:val="none" w:sz="0" w:space="0" w:color="auto"/>
              </w:divBdr>
              <w:divsChild>
                <w:div w:id="1021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3320">
          <w:marLeft w:val="0"/>
          <w:marRight w:val="0"/>
          <w:marTop w:val="0"/>
          <w:marBottom w:val="0"/>
          <w:divBdr>
            <w:top w:val="none" w:sz="0" w:space="0" w:color="auto"/>
            <w:left w:val="none" w:sz="0" w:space="0" w:color="auto"/>
            <w:bottom w:val="none" w:sz="0" w:space="0" w:color="auto"/>
            <w:right w:val="none" w:sz="0" w:space="0" w:color="auto"/>
          </w:divBdr>
          <w:divsChild>
            <w:div w:id="1312321112">
              <w:marLeft w:val="0"/>
              <w:marRight w:val="0"/>
              <w:marTop w:val="0"/>
              <w:marBottom w:val="0"/>
              <w:divBdr>
                <w:top w:val="none" w:sz="0" w:space="0" w:color="auto"/>
                <w:left w:val="none" w:sz="0" w:space="0" w:color="auto"/>
                <w:bottom w:val="none" w:sz="0" w:space="0" w:color="auto"/>
                <w:right w:val="none" w:sz="0" w:space="0" w:color="auto"/>
              </w:divBdr>
              <w:divsChild>
                <w:div w:id="2006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623463227">
      <w:bodyDiv w:val="1"/>
      <w:marLeft w:val="0"/>
      <w:marRight w:val="0"/>
      <w:marTop w:val="0"/>
      <w:marBottom w:val="0"/>
      <w:divBdr>
        <w:top w:val="none" w:sz="0" w:space="0" w:color="auto"/>
        <w:left w:val="none" w:sz="0" w:space="0" w:color="auto"/>
        <w:bottom w:val="none" w:sz="0" w:space="0" w:color="auto"/>
        <w:right w:val="none" w:sz="0" w:space="0" w:color="auto"/>
      </w:divBdr>
      <w:divsChild>
        <w:div w:id="1358891276">
          <w:marLeft w:val="0"/>
          <w:marRight w:val="0"/>
          <w:marTop w:val="0"/>
          <w:marBottom w:val="0"/>
          <w:divBdr>
            <w:top w:val="none" w:sz="0" w:space="0" w:color="auto"/>
            <w:left w:val="none" w:sz="0" w:space="0" w:color="auto"/>
            <w:bottom w:val="none" w:sz="0" w:space="0" w:color="auto"/>
            <w:right w:val="none" w:sz="0" w:space="0" w:color="auto"/>
          </w:divBdr>
          <w:divsChild>
            <w:div w:id="822549665">
              <w:marLeft w:val="0"/>
              <w:marRight w:val="0"/>
              <w:marTop w:val="0"/>
              <w:marBottom w:val="0"/>
              <w:divBdr>
                <w:top w:val="none" w:sz="0" w:space="0" w:color="auto"/>
                <w:left w:val="none" w:sz="0" w:space="0" w:color="auto"/>
                <w:bottom w:val="none" w:sz="0" w:space="0" w:color="auto"/>
                <w:right w:val="none" w:sz="0" w:space="0" w:color="auto"/>
              </w:divBdr>
            </w:div>
          </w:divsChild>
        </w:div>
        <w:div w:id="1853373442">
          <w:marLeft w:val="0"/>
          <w:marRight w:val="0"/>
          <w:marTop w:val="0"/>
          <w:marBottom w:val="0"/>
          <w:divBdr>
            <w:top w:val="none" w:sz="0" w:space="0" w:color="auto"/>
            <w:left w:val="none" w:sz="0" w:space="0" w:color="auto"/>
            <w:bottom w:val="none" w:sz="0" w:space="0" w:color="auto"/>
            <w:right w:val="none" w:sz="0" w:space="0" w:color="auto"/>
          </w:divBdr>
          <w:divsChild>
            <w:div w:id="9888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7554">
      <w:bodyDiv w:val="1"/>
      <w:marLeft w:val="0"/>
      <w:marRight w:val="0"/>
      <w:marTop w:val="0"/>
      <w:marBottom w:val="0"/>
      <w:divBdr>
        <w:top w:val="none" w:sz="0" w:space="0" w:color="auto"/>
        <w:left w:val="none" w:sz="0" w:space="0" w:color="auto"/>
        <w:bottom w:val="none" w:sz="0" w:space="0" w:color="auto"/>
        <w:right w:val="none" w:sz="0" w:space="0" w:color="auto"/>
      </w:divBdr>
      <w:divsChild>
        <w:div w:id="1051467730">
          <w:marLeft w:val="0"/>
          <w:marRight w:val="0"/>
          <w:marTop w:val="0"/>
          <w:marBottom w:val="0"/>
          <w:divBdr>
            <w:top w:val="none" w:sz="0" w:space="0" w:color="auto"/>
            <w:left w:val="none" w:sz="0" w:space="0" w:color="auto"/>
            <w:bottom w:val="none" w:sz="0" w:space="0" w:color="auto"/>
            <w:right w:val="none" w:sz="0" w:space="0" w:color="auto"/>
          </w:divBdr>
          <w:divsChild>
            <w:div w:id="792869326">
              <w:marLeft w:val="0"/>
              <w:marRight w:val="0"/>
              <w:marTop w:val="0"/>
              <w:marBottom w:val="0"/>
              <w:divBdr>
                <w:top w:val="none" w:sz="0" w:space="0" w:color="auto"/>
                <w:left w:val="none" w:sz="0" w:space="0" w:color="auto"/>
                <w:bottom w:val="none" w:sz="0" w:space="0" w:color="auto"/>
                <w:right w:val="none" w:sz="0" w:space="0" w:color="auto"/>
              </w:divBdr>
            </w:div>
          </w:divsChild>
        </w:div>
        <w:div w:id="1476799912">
          <w:marLeft w:val="0"/>
          <w:marRight w:val="0"/>
          <w:marTop w:val="0"/>
          <w:marBottom w:val="0"/>
          <w:divBdr>
            <w:top w:val="none" w:sz="0" w:space="0" w:color="auto"/>
            <w:left w:val="none" w:sz="0" w:space="0" w:color="auto"/>
            <w:bottom w:val="none" w:sz="0" w:space="0" w:color="auto"/>
            <w:right w:val="none" w:sz="0" w:space="0" w:color="auto"/>
          </w:divBdr>
          <w:divsChild>
            <w:div w:id="13413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937">
      <w:bodyDiv w:val="1"/>
      <w:marLeft w:val="0"/>
      <w:marRight w:val="0"/>
      <w:marTop w:val="0"/>
      <w:marBottom w:val="0"/>
      <w:divBdr>
        <w:top w:val="none" w:sz="0" w:space="0" w:color="auto"/>
        <w:left w:val="none" w:sz="0" w:space="0" w:color="auto"/>
        <w:bottom w:val="none" w:sz="0" w:space="0" w:color="auto"/>
        <w:right w:val="none" w:sz="0" w:space="0" w:color="auto"/>
      </w:divBdr>
    </w:div>
    <w:div w:id="1020737240">
      <w:bodyDiv w:val="1"/>
      <w:marLeft w:val="0"/>
      <w:marRight w:val="0"/>
      <w:marTop w:val="0"/>
      <w:marBottom w:val="0"/>
      <w:divBdr>
        <w:top w:val="none" w:sz="0" w:space="0" w:color="auto"/>
        <w:left w:val="none" w:sz="0" w:space="0" w:color="auto"/>
        <w:bottom w:val="none" w:sz="0" w:space="0" w:color="auto"/>
        <w:right w:val="none" w:sz="0" w:space="0" w:color="auto"/>
      </w:divBdr>
      <w:divsChild>
        <w:div w:id="1249853399">
          <w:marLeft w:val="0"/>
          <w:marRight w:val="0"/>
          <w:marTop w:val="0"/>
          <w:marBottom w:val="0"/>
          <w:divBdr>
            <w:top w:val="none" w:sz="0" w:space="0" w:color="auto"/>
            <w:left w:val="none" w:sz="0" w:space="0" w:color="auto"/>
            <w:bottom w:val="none" w:sz="0" w:space="0" w:color="auto"/>
            <w:right w:val="none" w:sz="0" w:space="0" w:color="auto"/>
          </w:divBdr>
          <w:divsChild>
            <w:div w:id="1904365899">
              <w:marLeft w:val="0"/>
              <w:marRight w:val="0"/>
              <w:marTop w:val="0"/>
              <w:marBottom w:val="0"/>
              <w:divBdr>
                <w:top w:val="none" w:sz="0" w:space="0" w:color="auto"/>
                <w:left w:val="none" w:sz="0" w:space="0" w:color="auto"/>
                <w:bottom w:val="none" w:sz="0" w:space="0" w:color="auto"/>
                <w:right w:val="none" w:sz="0" w:space="0" w:color="auto"/>
              </w:divBdr>
            </w:div>
          </w:divsChild>
        </w:div>
        <w:div w:id="2125076888">
          <w:marLeft w:val="0"/>
          <w:marRight w:val="0"/>
          <w:marTop w:val="0"/>
          <w:marBottom w:val="0"/>
          <w:divBdr>
            <w:top w:val="none" w:sz="0" w:space="0" w:color="auto"/>
            <w:left w:val="none" w:sz="0" w:space="0" w:color="auto"/>
            <w:bottom w:val="none" w:sz="0" w:space="0" w:color="auto"/>
            <w:right w:val="none" w:sz="0" w:space="0" w:color="auto"/>
          </w:divBdr>
          <w:divsChild>
            <w:div w:id="9761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7434">
      <w:bodyDiv w:val="1"/>
      <w:marLeft w:val="0"/>
      <w:marRight w:val="0"/>
      <w:marTop w:val="0"/>
      <w:marBottom w:val="0"/>
      <w:divBdr>
        <w:top w:val="none" w:sz="0" w:space="0" w:color="auto"/>
        <w:left w:val="none" w:sz="0" w:space="0" w:color="auto"/>
        <w:bottom w:val="none" w:sz="0" w:space="0" w:color="auto"/>
        <w:right w:val="none" w:sz="0" w:space="0" w:color="auto"/>
      </w:divBdr>
      <w:divsChild>
        <w:div w:id="15541826">
          <w:marLeft w:val="0"/>
          <w:marRight w:val="0"/>
          <w:marTop w:val="0"/>
          <w:marBottom w:val="0"/>
          <w:divBdr>
            <w:top w:val="none" w:sz="0" w:space="0" w:color="auto"/>
            <w:left w:val="none" w:sz="0" w:space="0" w:color="auto"/>
            <w:bottom w:val="none" w:sz="0" w:space="0" w:color="auto"/>
            <w:right w:val="none" w:sz="0" w:space="0" w:color="auto"/>
          </w:divBdr>
          <w:divsChild>
            <w:div w:id="910626367">
              <w:marLeft w:val="0"/>
              <w:marRight w:val="0"/>
              <w:marTop w:val="0"/>
              <w:marBottom w:val="0"/>
              <w:divBdr>
                <w:top w:val="none" w:sz="0" w:space="0" w:color="auto"/>
                <w:left w:val="none" w:sz="0" w:space="0" w:color="auto"/>
                <w:bottom w:val="none" w:sz="0" w:space="0" w:color="auto"/>
                <w:right w:val="none" w:sz="0" w:space="0" w:color="auto"/>
              </w:divBdr>
            </w:div>
          </w:divsChild>
        </w:div>
        <w:div w:id="1153987643">
          <w:marLeft w:val="0"/>
          <w:marRight w:val="0"/>
          <w:marTop w:val="0"/>
          <w:marBottom w:val="0"/>
          <w:divBdr>
            <w:top w:val="none" w:sz="0" w:space="0" w:color="auto"/>
            <w:left w:val="none" w:sz="0" w:space="0" w:color="auto"/>
            <w:bottom w:val="none" w:sz="0" w:space="0" w:color="auto"/>
            <w:right w:val="none" w:sz="0" w:space="0" w:color="auto"/>
          </w:divBdr>
          <w:divsChild>
            <w:div w:id="3203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308">
      <w:bodyDiv w:val="1"/>
      <w:marLeft w:val="0"/>
      <w:marRight w:val="0"/>
      <w:marTop w:val="0"/>
      <w:marBottom w:val="0"/>
      <w:divBdr>
        <w:top w:val="none" w:sz="0" w:space="0" w:color="auto"/>
        <w:left w:val="none" w:sz="0" w:space="0" w:color="auto"/>
        <w:bottom w:val="none" w:sz="0" w:space="0" w:color="auto"/>
        <w:right w:val="none" w:sz="0" w:space="0" w:color="auto"/>
      </w:divBdr>
      <w:divsChild>
        <w:div w:id="696346132">
          <w:marLeft w:val="0"/>
          <w:marRight w:val="0"/>
          <w:marTop w:val="0"/>
          <w:marBottom w:val="0"/>
          <w:divBdr>
            <w:top w:val="none" w:sz="0" w:space="0" w:color="auto"/>
            <w:left w:val="none" w:sz="0" w:space="0" w:color="auto"/>
            <w:bottom w:val="none" w:sz="0" w:space="0" w:color="auto"/>
            <w:right w:val="none" w:sz="0" w:space="0" w:color="auto"/>
          </w:divBdr>
          <w:divsChild>
            <w:div w:id="1091926899">
              <w:marLeft w:val="0"/>
              <w:marRight w:val="0"/>
              <w:marTop w:val="0"/>
              <w:marBottom w:val="0"/>
              <w:divBdr>
                <w:top w:val="none" w:sz="0" w:space="0" w:color="auto"/>
                <w:left w:val="none" w:sz="0" w:space="0" w:color="auto"/>
                <w:bottom w:val="none" w:sz="0" w:space="0" w:color="auto"/>
                <w:right w:val="none" w:sz="0" w:space="0" w:color="auto"/>
              </w:divBdr>
            </w:div>
          </w:divsChild>
        </w:div>
        <w:div w:id="1103570038">
          <w:marLeft w:val="0"/>
          <w:marRight w:val="0"/>
          <w:marTop w:val="0"/>
          <w:marBottom w:val="0"/>
          <w:divBdr>
            <w:top w:val="none" w:sz="0" w:space="0" w:color="auto"/>
            <w:left w:val="none" w:sz="0" w:space="0" w:color="auto"/>
            <w:bottom w:val="none" w:sz="0" w:space="0" w:color="auto"/>
            <w:right w:val="none" w:sz="0" w:space="0" w:color="auto"/>
          </w:divBdr>
          <w:divsChild>
            <w:div w:id="8053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0365">
      <w:bodyDiv w:val="1"/>
      <w:marLeft w:val="0"/>
      <w:marRight w:val="0"/>
      <w:marTop w:val="0"/>
      <w:marBottom w:val="0"/>
      <w:divBdr>
        <w:top w:val="none" w:sz="0" w:space="0" w:color="auto"/>
        <w:left w:val="none" w:sz="0" w:space="0" w:color="auto"/>
        <w:bottom w:val="none" w:sz="0" w:space="0" w:color="auto"/>
        <w:right w:val="none" w:sz="0" w:space="0" w:color="auto"/>
      </w:divBdr>
      <w:divsChild>
        <w:div w:id="79328464">
          <w:marLeft w:val="0"/>
          <w:marRight w:val="0"/>
          <w:marTop w:val="0"/>
          <w:marBottom w:val="0"/>
          <w:divBdr>
            <w:top w:val="none" w:sz="0" w:space="0" w:color="auto"/>
            <w:left w:val="none" w:sz="0" w:space="0" w:color="auto"/>
            <w:bottom w:val="none" w:sz="0" w:space="0" w:color="auto"/>
            <w:right w:val="none" w:sz="0" w:space="0" w:color="auto"/>
          </w:divBdr>
          <w:divsChild>
            <w:div w:id="1303773351">
              <w:marLeft w:val="0"/>
              <w:marRight w:val="0"/>
              <w:marTop w:val="0"/>
              <w:marBottom w:val="0"/>
              <w:divBdr>
                <w:top w:val="none" w:sz="0" w:space="0" w:color="auto"/>
                <w:left w:val="none" w:sz="0" w:space="0" w:color="auto"/>
                <w:bottom w:val="none" w:sz="0" w:space="0" w:color="auto"/>
                <w:right w:val="none" w:sz="0" w:space="0" w:color="auto"/>
              </w:divBdr>
              <w:divsChild>
                <w:div w:id="7966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8947">
          <w:marLeft w:val="0"/>
          <w:marRight w:val="0"/>
          <w:marTop w:val="0"/>
          <w:marBottom w:val="0"/>
          <w:divBdr>
            <w:top w:val="none" w:sz="0" w:space="0" w:color="auto"/>
            <w:left w:val="none" w:sz="0" w:space="0" w:color="auto"/>
            <w:bottom w:val="none" w:sz="0" w:space="0" w:color="auto"/>
            <w:right w:val="none" w:sz="0" w:space="0" w:color="auto"/>
          </w:divBdr>
          <w:divsChild>
            <w:div w:id="489101243">
              <w:marLeft w:val="0"/>
              <w:marRight w:val="0"/>
              <w:marTop w:val="0"/>
              <w:marBottom w:val="0"/>
              <w:divBdr>
                <w:top w:val="none" w:sz="0" w:space="0" w:color="auto"/>
                <w:left w:val="none" w:sz="0" w:space="0" w:color="auto"/>
                <w:bottom w:val="none" w:sz="0" w:space="0" w:color="auto"/>
                <w:right w:val="none" w:sz="0" w:space="0" w:color="auto"/>
              </w:divBdr>
              <w:divsChild>
                <w:div w:id="8929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1438">
      <w:bodyDiv w:val="1"/>
      <w:marLeft w:val="0"/>
      <w:marRight w:val="0"/>
      <w:marTop w:val="0"/>
      <w:marBottom w:val="0"/>
      <w:divBdr>
        <w:top w:val="none" w:sz="0" w:space="0" w:color="auto"/>
        <w:left w:val="none" w:sz="0" w:space="0" w:color="auto"/>
        <w:bottom w:val="none" w:sz="0" w:space="0" w:color="auto"/>
        <w:right w:val="none" w:sz="0" w:space="0" w:color="auto"/>
      </w:divBdr>
    </w:div>
    <w:div w:id="2039503917">
      <w:bodyDiv w:val="1"/>
      <w:marLeft w:val="0"/>
      <w:marRight w:val="0"/>
      <w:marTop w:val="0"/>
      <w:marBottom w:val="0"/>
      <w:divBdr>
        <w:top w:val="none" w:sz="0" w:space="0" w:color="auto"/>
        <w:left w:val="none" w:sz="0" w:space="0" w:color="auto"/>
        <w:bottom w:val="none" w:sz="0" w:space="0" w:color="auto"/>
        <w:right w:val="none" w:sz="0" w:space="0" w:color="auto"/>
      </w:divBdr>
      <w:divsChild>
        <w:div w:id="1663198495">
          <w:marLeft w:val="0"/>
          <w:marRight w:val="0"/>
          <w:marTop w:val="0"/>
          <w:marBottom w:val="0"/>
          <w:divBdr>
            <w:top w:val="none" w:sz="0" w:space="0" w:color="auto"/>
            <w:left w:val="none" w:sz="0" w:space="0" w:color="auto"/>
            <w:bottom w:val="none" w:sz="0" w:space="0" w:color="auto"/>
            <w:right w:val="none" w:sz="0" w:space="0" w:color="auto"/>
          </w:divBdr>
          <w:divsChild>
            <w:div w:id="465856755">
              <w:marLeft w:val="0"/>
              <w:marRight w:val="0"/>
              <w:marTop w:val="0"/>
              <w:marBottom w:val="0"/>
              <w:divBdr>
                <w:top w:val="none" w:sz="0" w:space="0" w:color="auto"/>
                <w:left w:val="none" w:sz="0" w:space="0" w:color="auto"/>
                <w:bottom w:val="none" w:sz="0" w:space="0" w:color="auto"/>
                <w:right w:val="none" w:sz="0" w:space="0" w:color="auto"/>
              </w:divBdr>
              <w:divsChild>
                <w:div w:id="21175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0485">
          <w:marLeft w:val="0"/>
          <w:marRight w:val="0"/>
          <w:marTop w:val="0"/>
          <w:marBottom w:val="0"/>
          <w:divBdr>
            <w:top w:val="none" w:sz="0" w:space="0" w:color="auto"/>
            <w:left w:val="none" w:sz="0" w:space="0" w:color="auto"/>
            <w:bottom w:val="none" w:sz="0" w:space="0" w:color="auto"/>
            <w:right w:val="none" w:sz="0" w:space="0" w:color="auto"/>
          </w:divBdr>
          <w:divsChild>
            <w:div w:id="780954174">
              <w:marLeft w:val="0"/>
              <w:marRight w:val="0"/>
              <w:marTop w:val="0"/>
              <w:marBottom w:val="0"/>
              <w:divBdr>
                <w:top w:val="none" w:sz="0" w:space="0" w:color="auto"/>
                <w:left w:val="none" w:sz="0" w:space="0" w:color="auto"/>
                <w:bottom w:val="none" w:sz="0" w:space="0" w:color="auto"/>
                <w:right w:val="none" w:sz="0" w:space="0" w:color="auto"/>
              </w:divBdr>
              <w:divsChild>
                <w:div w:id="3941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itie-tchad.mbn.tn/logi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itie-chad.org/wp-content/uploads/2022/03/Arrete-N%C2%B0003-du-16-mars-22-Creation-Comite-charge-de-Relcture-des-recommandations-et-mesures-correctives-des-rapports-2018-2019-1.pdf" TargetMode="External"/><Relationship Id="rId7" Type="http://schemas.openxmlformats.org/officeDocument/2006/relationships/settings" Target="settings.xml"/><Relationship Id="rId12" Type="http://schemas.openxmlformats.org/officeDocument/2006/relationships/hyperlink" Target="http://www.bing.com/images/search?q=armoiries+tchad#focal=31b848edae4250978a330499c556dbd6&amp;furl=http://www.frequenceevasion.com/image/drapeaux/ecussontchad.jpg" TargetMode="External"/><Relationship Id="rId17" Type="http://schemas.openxmlformats.org/officeDocument/2006/relationships/hyperlink" Target="http://www.itie-tchad.mbn.tn/logi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itie-chad.org/wp-content/uploads/2022/03/ARRETE-044-PR-MPME-HCN-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tie-chad.org/wp-content/uploads/2022/03/Final-PTA-Triennal-2018-2020.xls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inances.gouv.t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itie-chad.org/tableau-de-suivi-des-mesures-corrective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9" ma:contentTypeDescription="Create a new document." ma:contentTypeScope="" ma:versionID="b1797ab2ec846b70d7c792ae64c80a36">
  <xsd:schema xmlns:xsd="http://www.w3.org/2001/XMLSchema" xmlns:xs="http://www.w3.org/2001/XMLSchema" xmlns:p="http://schemas.microsoft.com/office/2006/metadata/properties" xmlns:ns2="d9eb0d81-beec-4074-bc6f-8be11319408c" targetNamespace="http://schemas.microsoft.com/office/2006/metadata/properties" ma:root="true" ma:fieldsID="8c3d53e08a39edf9e2ec06a3bcc52099" ns2:_="">
    <xsd:import namespace="d9eb0d81-beec-4074-bc6f-8be113194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2.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EF949A-A6FE-44DD-AE47-D6129217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39CCE-0250-41C0-983D-E3D93042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139</TotalTime>
  <Pages>28</Pages>
  <Words>7207</Words>
  <Characters>39640</Characters>
  <Application>Microsoft Office Word</Application>
  <DocSecurity>0</DocSecurity>
  <Lines>330</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46754</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dc:description/>
  <cp:lastModifiedBy>Compte Microsoft</cp:lastModifiedBy>
  <cp:revision>10</cp:revision>
  <cp:lastPrinted>2022-03-24T13:58:00Z</cp:lastPrinted>
  <dcterms:created xsi:type="dcterms:W3CDTF">2022-03-30T10:56:00Z</dcterms:created>
  <dcterms:modified xsi:type="dcterms:W3CDTF">2022-04-01T19:09:00Z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279700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SourceUrl">
    <vt:lpwstr/>
  </property>
</Properties>
</file>