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FB" w:rsidRPr="003E4229" w:rsidRDefault="0026346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E4229">
        <w:rPr>
          <w:b/>
          <w:sz w:val="28"/>
          <w:szCs w:val="28"/>
          <w:u w:val="single"/>
        </w:rPr>
        <w:t>SCHEMA D’ATTESTATION DES DONNEES ITIE PROPOSE PAR LE CREFIAF</w:t>
      </w:r>
      <w:r w:rsidR="00F54C5D">
        <w:rPr>
          <w:b/>
          <w:sz w:val="28"/>
          <w:szCs w:val="28"/>
          <w:u w:val="single"/>
        </w:rPr>
        <w:t xml:space="preserve"> </w:t>
      </w:r>
      <w:r w:rsidR="00F54C5D" w:rsidRPr="00F54C5D">
        <w:rPr>
          <w:sz w:val="28"/>
          <w:szCs w:val="28"/>
          <w:u w:val="single"/>
        </w:rPr>
        <w:t>(Conseil Régional de Formation des ISC d’Afrique Francophone)</w:t>
      </w:r>
    </w:p>
    <w:p w:rsidR="00A64AE4" w:rsidRDefault="00A64AE4"/>
    <w:p w:rsidR="00A64AE4" w:rsidRDefault="00A64AE4" w:rsidP="00A64AE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ISC ET ADMINISTRATEUR INDEPENDANT DANS LE PROCESSUS D’ATTESTATION DES DONNEES ITIE </w:t>
      </w:r>
    </w:p>
    <w:p w:rsidR="003E292A" w:rsidRDefault="003E292A" w:rsidP="00A64AE4">
      <w:pPr>
        <w:rPr>
          <w:rFonts w:ascii="DengXian" w:hAnsi="DengXian" w:cs="DengXian"/>
        </w:rPr>
      </w:pPr>
    </w:p>
    <w:p w:rsidR="00A64AE4" w:rsidRDefault="00A64AE4" w:rsidP="00CE4B0B">
      <w:pPr>
        <w:jc w:val="both"/>
        <w:rPr>
          <w:rFonts w:ascii="DengXian" w:hAnsi="DengXian" w:cs="DengXian"/>
        </w:rPr>
      </w:pPr>
      <w:r>
        <w:rPr>
          <w:rFonts w:ascii="DengXian" w:hAnsi="DengXian" w:cs="DengXian"/>
        </w:rPr>
        <w:t>Dans le cadre de la mise en œuvre du processus d’attestation des données ITIE, le groupe multipartite fait appel à des compétences extérieures pour attester et certifier les données des entités. Il s’agit de l’ISC pour ce qui concerne les</w:t>
      </w:r>
      <w:r w:rsidR="00CE4B0B">
        <w:rPr>
          <w:rFonts w:ascii="DengXian" w:hAnsi="DengXian" w:cs="DengXian"/>
        </w:rPr>
        <w:t xml:space="preserve"> données des entités publiques</w:t>
      </w:r>
      <w:r w:rsidR="003E4229">
        <w:rPr>
          <w:rFonts w:ascii="DengXian" w:hAnsi="DengXian" w:cs="DengXian"/>
        </w:rPr>
        <w:t xml:space="preserve"> et </w:t>
      </w:r>
      <w:r>
        <w:rPr>
          <w:rFonts w:ascii="DengXian" w:hAnsi="DengXian" w:cs="DengXian"/>
        </w:rPr>
        <w:t xml:space="preserve"> de l’AI pour toutes les données du périmètre.</w:t>
      </w:r>
    </w:p>
    <w:p w:rsidR="00CE4B0B" w:rsidRPr="003E4229" w:rsidRDefault="00CE4B0B" w:rsidP="00CE4B0B">
      <w:pPr>
        <w:jc w:val="both"/>
        <w:rPr>
          <w:rFonts w:ascii="DengXian" w:hAnsi="DengXian" w:cs="DengXian"/>
          <w:b/>
        </w:rPr>
      </w:pPr>
      <w:r w:rsidRPr="003E4229">
        <w:rPr>
          <w:rFonts w:ascii="DengXian" w:hAnsi="DengXian" w:cs="DengXian"/>
          <w:b/>
        </w:rPr>
        <w:t>i) de l’ISC</w:t>
      </w:r>
    </w:p>
    <w:p w:rsidR="00CE4B0B" w:rsidRPr="00CE4B0B" w:rsidRDefault="00CE4B0B" w:rsidP="00CE4B0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DengXian" w:hAnsi="DengXian" w:cs="DengXian"/>
          <w:color w:val="000000"/>
        </w:rPr>
      </w:pPr>
      <w:r w:rsidRPr="00CE4B0B">
        <w:rPr>
          <w:rFonts w:ascii="DengXian" w:hAnsi="DengXian" w:cs="DengXian"/>
          <w:color w:val="000000"/>
        </w:rPr>
        <w:t xml:space="preserve">L’ISC participe en tant qu’observateur au lancement du rapport ITIE (cadrage et détermination du périmètre), à la détermination du niveau d’assurance et du seuil de matérialité, ainsi qu’à la validation du modèle de déclaration et des délais de rapportage ; </w:t>
      </w:r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jc w:val="both"/>
        <w:rPr>
          <w:rFonts w:ascii="DengXian" w:hAnsi="DengXian" w:cs="DengXian"/>
          <w:color w:val="000000"/>
        </w:rPr>
      </w:pPr>
    </w:p>
    <w:p w:rsidR="00CE4B0B" w:rsidRPr="00CE4B0B" w:rsidRDefault="00CE4B0B" w:rsidP="00A64AE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DengXian" w:hAnsi="DengXian" w:cs="DengXian"/>
          <w:color w:val="000000"/>
        </w:rPr>
      </w:pPr>
      <w:r w:rsidRPr="00CE4B0B">
        <w:rPr>
          <w:rFonts w:ascii="DengXian" w:hAnsi="DengXian" w:cs="DengXian"/>
          <w:color w:val="000000"/>
        </w:rPr>
        <w:t xml:space="preserve">Elle intervient en tant qu’acteur pour la collecte des données et le rapportage des entités publiques déclarantes, ainsi que pour l’attestation des données déclarées par les entités publiques ; </w:t>
      </w:r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</w:p>
    <w:p w:rsidR="00CE4B0B" w:rsidRPr="00CE4B0B" w:rsidRDefault="00CE4B0B" w:rsidP="00CE4B0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  <w:r w:rsidRPr="00CE4B0B">
        <w:rPr>
          <w:rFonts w:ascii="DengXian" w:hAnsi="DengXian" w:cs="DengXian"/>
          <w:color w:val="000000"/>
        </w:rPr>
        <w:t xml:space="preserve">Elle communique avec l’AI pour le rapprochement et l’ajustement des écarts. </w:t>
      </w:r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:rsidR="003E4229" w:rsidRPr="003E4229" w:rsidRDefault="003E4229" w:rsidP="003E422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color w:val="000000"/>
        </w:rPr>
      </w:pPr>
      <w:r w:rsidRPr="003E4229">
        <w:rPr>
          <w:rFonts w:ascii="DengXian" w:hAnsi="DengXian" w:cs="DengXian"/>
          <w:b/>
        </w:rPr>
        <w:t xml:space="preserve">ii) l’AI </w:t>
      </w:r>
    </w:p>
    <w:p w:rsidR="00CE4B0B" w:rsidRPr="00CE4B0B" w:rsidRDefault="00CE4B0B" w:rsidP="00CE4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  <w:r w:rsidRPr="00CE4B0B">
        <w:rPr>
          <w:rFonts w:ascii="DengXian" w:hAnsi="DengXian" w:cs="DengXian"/>
          <w:color w:val="000000"/>
        </w:rPr>
        <w:t>Concernant l’AI, il joue un rôle majeur dans le processus d’attestation des données car il a un contrat de service avec le GMP. A cet effet son intervention est sollicitée à tous les niveaux</w:t>
      </w:r>
      <w:r w:rsidR="003E4229">
        <w:rPr>
          <w:rFonts w:ascii="DengXian" w:hAnsi="DengXian" w:cs="DengXian"/>
          <w:color w:val="000000"/>
        </w:rPr>
        <w:t>.</w:t>
      </w:r>
      <w:r w:rsidRPr="00CE4B0B">
        <w:rPr>
          <w:rFonts w:ascii="Corbel" w:hAnsi="Corbel" w:cs="Corbel"/>
          <w:color w:val="000000"/>
        </w:rPr>
        <w:t xml:space="preserve"> </w:t>
      </w:r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:rsidR="003E292A" w:rsidRDefault="00FD5774" w:rsidP="00A64AE4">
      <w:pPr>
        <w:rPr>
          <w:rFonts w:ascii="DengXian" w:hAnsi="DengXian" w:cs="DengXian"/>
        </w:rPr>
      </w:pPr>
      <w:r>
        <w:rPr>
          <w:rFonts w:ascii="DengXian" w:hAnsi="DengXian" w:cs="DengXi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99060</wp:posOffset>
                </wp:positionV>
                <wp:extent cx="838200" cy="1092200"/>
                <wp:effectExtent l="9525" t="5080" r="9525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623" w:rsidRPr="00A07623" w:rsidRDefault="00A07623" w:rsidP="00A0762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7623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A07623" w:rsidRDefault="00A07623" w:rsidP="00A076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Détermination du niveau d’assurance et du seuil de matérialité </w:t>
                            </w:r>
                          </w:p>
                          <w:p w:rsidR="00A07623" w:rsidRPr="00A07623" w:rsidRDefault="00A07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8.65pt;margin-top:7.8pt;width:66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sbIgIAAEcEAAAOAAAAZHJzL2Uyb0RvYy54bWysU9uO0zAQfUfiHyy/0yTdFtqo6WrVpQhp&#10;gRULH+A4TmLhG2O3afn6HTvdbhd4QvjB8niOj2fOzKyuD1qRvQAvraloMckpEYbbRpquot+/bd8s&#10;KPGBmYYpa0RFj8LT6/XrV6vBlWJqe6saAQRJjC8HV9E+BFdmmee90MxPrBMGna0FzQKa0GUNsAHZ&#10;tcqmef42Gyw0DiwX3uPt7eik68TftoKHL23rRSCqohhbSDukvY57tl6xsgPmeslPYbB/iEIzafDT&#10;M9UtC4zsQP5BpSUH620bJtzqzLat5CLlgNkU+W/ZPPTMiZQLiuPdWSb//2j55/09ENlUdEmJYRpL&#10;9BVFY6ZTglxFeQbnS0Q9uHuICXp3Z/kPT4zd9IgSNwB26AVrMKgi4rMXD6Lh8Smph0+2QXa2CzYp&#10;dWhBR0LUgBxSQY7ngohDIBwvF1cLLDIlHF1FvpxGI37ByqfXDnz4IKwm8VBRwNgTO9vf+TBCnyAp&#10;eqtks5VKJQO6eqOA7Bk2xzatE7u/hClDBpRnPp0n5hc+f0mRp/U3Ci0DdrmSGlM6g1gZZXtvGgyT&#10;lYFJNZ4xO2VOOkbpxhKEQ31AYNSzts0RFQU7djNOHx56C78oGbCTK+p/7hgIStRHg1VZFrNZbP1k&#10;zObvpmjApae+9DDDkaqigZLxuAnjuOwcyK7Hn4okg7E3WMlWJpGfozrFjd2aynSarDgOl3ZCPc//&#10;+hEAAP//AwBQSwMEFAAGAAgAAAAhAC02t+jeAAAACgEAAA8AAABkcnMvZG93bnJldi54bWxMj0FP&#10;g0AQhe8m/ofNmHizixBpiyyN0dTEY0svvQ3sCCi7S9ilRX+946m9zXvz8uabfDObXpxo9J2zCh4X&#10;EQiytdOdbRQcyu3DCoQPaDX2zpKCH/KwKW5vcsy0O9sdnfahEVxifYYK2hCGTEpft2TQL9xAlnef&#10;bjQYWI6N1COeudz0Mo6iVBrsLF9ocaDXlurv/WQUVF18wN9d+R6Z9TYJH3P5NR3flLq/m1+eQQSa&#10;wyUM//iMDgUzVW6y2ouedbJMOMrDUwqCA3G6ZqNiY7VMQRa5vH6h+AMAAP//AwBQSwECLQAUAAYA&#10;CAAAACEAtoM4kv4AAADhAQAAEwAAAAAAAAAAAAAAAAAAAAAAW0NvbnRlbnRfVHlwZXNdLnhtbFBL&#10;AQItABQABgAIAAAAIQA4/SH/1gAAAJQBAAALAAAAAAAAAAAAAAAAAC8BAABfcmVscy8ucmVsc1BL&#10;AQItABQABgAIAAAAIQD2HOsbIgIAAEcEAAAOAAAAAAAAAAAAAAAAAC4CAABkcnMvZTJvRG9jLnht&#10;bFBLAQItABQABgAIAAAAIQAtNrfo3gAAAAoBAAAPAAAAAAAAAAAAAAAAAHwEAABkcnMvZG93bnJl&#10;di54bWxQSwUGAAAAAAQABADzAAAAhwUAAAAA&#10;">
                <v:textbox>
                  <w:txbxContent>
                    <w:p w:rsidR="00A07623" w:rsidRPr="00A07623" w:rsidRDefault="00A07623" w:rsidP="00A0762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07623"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A07623" w:rsidRDefault="00A07623" w:rsidP="00A0762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Détermination du niveau d’assurance et du seuil de matérialité </w:t>
                      </w:r>
                    </w:p>
                    <w:p w:rsidR="00A07623" w:rsidRPr="00A07623" w:rsidRDefault="00A0762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DengXian" w:hAnsi="DengXian" w:cs="DengXi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99060</wp:posOffset>
                </wp:positionV>
                <wp:extent cx="673100" cy="1092200"/>
                <wp:effectExtent l="12700" t="5080" r="9525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75" w:rsidRPr="00A07623" w:rsidRDefault="00665475" w:rsidP="00A0762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7623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65475" w:rsidRPr="00665475" w:rsidRDefault="00665475" w:rsidP="00A076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65475">
                              <w:rPr>
                                <w:sz w:val="16"/>
                                <w:szCs w:val="16"/>
                              </w:rPr>
                              <w:t>Lancement du</w:t>
                            </w:r>
                            <w:r>
                              <w:t xml:space="preserve"> </w:t>
                            </w:r>
                            <w:r w:rsidRPr="00665475">
                              <w:rPr>
                                <w:sz w:val="16"/>
                                <w:szCs w:val="16"/>
                              </w:rPr>
                              <w:t>rapport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(cadrage et détermination du périmètre)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5.15pt;margin-top:7.8pt;width:53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C4JwIAAE4EAAAOAAAAZHJzL2Uyb0RvYy54bWysVNtuEzEQfUfiHyy/k72QtGSVTVWlBCEV&#10;qCh8gNfr3bXwjbGTTfn6jr1pmgJPiH2wPJ7x8cw5M7u6OmhF9gK8tKamxSynRBhuW2n6mn7/tn3z&#10;jhIfmGmZskbU9EF4erV+/Wo1ukqUdrCqFUAQxPhqdDUdQnBVlnk+CM38zDph0NlZ0CygCX3WAhsR&#10;XauszPOLbLTQOrBceI+nN5OTrhN+1wkevnSdF4GommJuIa2Q1iau2XrFqh6YGyQ/psH+IQvNpMFH&#10;T1A3LDCyA/kHlJYcrLddmHGrM9t1kotUA1ZT5L9Vcz8wJ1ItSI53J5r8/4Pln/d3QGRbUxTKMI0S&#10;fUXSmOmVIGWkZ3S+wqh7dwexQO9uLf/hibGbAaPENYAdB8FaTKqI8dmLC9HweJU04yfbIjrbBZuY&#10;OnSgIyByQA5JkIeTIOIQCMfDi8u3RY6ycXQV+bJExdMTrHq67cCHD8JqEjc1Bcw9obP9rQ8xG1Y9&#10;haTsrZLtViqVDOibjQKyZ9gc2/Qd0f15mDJkrOlyUS4S8gufP4fI0/c3CC0DdrmSGmk+BbEq0vbe&#10;tKkHA5Nq2mPKyhx5jNRNEoRDc0g6JZIjrY1tH5BYsFNT4xDiZrDwi5IRG7qm/ueOgaBEfTQozrKY&#10;z+MEJGO+uCzRgHNPc+5hhiNUTQMl03YTpqnZOZD9gC8ViQ1jr1HQTiaun7M6po9NmyQ4DlicinM7&#10;RT3/BtaPAAAA//8DAFBLAwQUAAYACAAAACEAzUpoXtwAAAAJAQAADwAAAGRycy9kb3ducmV2Lnht&#10;bExPQU7DMBC8I/EHa5G4UbutCCWNUyFQkTi26YWbEy9JSryOYqcNvJ7tiZ52Z2c0M5ttJteJEw6h&#10;9aRhPlMgkCpvW6o1HIrtwwpEiIas6Tyhhh8MsMlvbzKTWn+mHZ72sRZsQiE1GpoY+1TKUDXoTJj5&#10;Hom5Lz84ExkOtbSDObO56+RCqUQ60xInNKbH1war7/3oNJTt4mB+d8W7cs/bZfyYiuP4+ab1/d30&#10;sgYRcYr/YrjU5+qQc6fSj2SD6BirJSt5PiYgLvw84UPJy+opAZln8vqD/A8AAP//AwBQSwECLQAU&#10;AAYACAAAACEAtoM4kv4AAADhAQAAEwAAAAAAAAAAAAAAAAAAAAAAW0NvbnRlbnRfVHlwZXNdLnht&#10;bFBLAQItABQABgAIAAAAIQA4/SH/1gAAAJQBAAALAAAAAAAAAAAAAAAAAC8BAABfcmVscy8ucmVs&#10;c1BLAQItABQABgAIAAAAIQDGz4C4JwIAAE4EAAAOAAAAAAAAAAAAAAAAAC4CAABkcnMvZTJvRG9j&#10;LnhtbFBLAQItABQABgAIAAAAIQDNSmhe3AAAAAkBAAAPAAAAAAAAAAAAAAAAAIEEAABkcnMvZG93&#10;bnJldi54bWxQSwUGAAAAAAQABADzAAAAigUAAAAA&#10;">
                <v:textbox>
                  <w:txbxContent>
                    <w:p w:rsidR="00665475" w:rsidRPr="00A07623" w:rsidRDefault="00665475" w:rsidP="00A0762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07623"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665475" w:rsidRPr="00665475" w:rsidRDefault="00665475" w:rsidP="00A076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65475">
                        <w:rPr>
                          <w:sz w:val="16"/>
                          <w:szCs w:val="16"/>
                        </w:rPr>
                        <w:t>Lancement du</w:t>
                      </w:r>
                      <w:r>
                        <w:t xml:space="preserve"> </w:t>
                      </w:r>
                      <w:r w:rsidRPr="00665475">
                        <w:rPr>
                          <w:sz w:val="16"/>
                          <w:szCs w:val="16"/>
                        </w:rPr>
                        <w:t>rapport</w:t>
                      </w:r>
                      <w:r>
                        <w:rPr>
                          <w:sz w:val="16"/>
                          <w:szCs w:val="16"/>
                        </w:rPr>
                        <w:t xml:space="preserve"> (cadrage et détermination du périmètre)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ngXian" w:hAnsi="DengXian" w:cs="DengXi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99060</wp:posOffset>
                </wp:positionV>
                <wp:extent cx="698500" cy="1092200"/>
                <wp:effectExtent l="6350" t="5080" r="9525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7F7" w:rsidRPr="00A07623" w:rsidRDefault="003E47F7" w:rsidP="00A0762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7623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07623" w:rsidRPr="003E47F7" w:rsidRDefault="00A07623" w:rsidP="00A076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Validation du modèle de déclaration et délai de rapportage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44.15pt;margin-top:7.8pt;width:5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zLKQIAAE4EAAAOAAAAZHJzL2Uyb0RvYy54bWysVNtu2zAMfR+wfxD0vviCpE2MOEWRLsOA&#10;bi3W7QNkWbaFyZJGKbGzrx8lp2m67WmYHwRRpI7Ic0ivb8ZekYMAJ40uaTZLKRGam1rqtqTfvu7e&#10;LSlxnumaKaNFSY/C0ZvN2zfrwRYiN51RtQCCINoVgy1p570tksTxTvTMzYwVGp2NgZ55NKFNamAD&#10;ovcqydP0KhkM1BYMF87h6d3kpJuI3zSC+4emccITVVLMzccV4lqFNdmsWdECs53kpzTYP2TRM6nx&#10;0TPUHfOM7EH+AdVLDsaZxs+46RPTNJKLWANWk6W/VfPUMStiLUiOs2ea3P+D5Z8Pj0BkXdJrSjTr&#10;UaIvSBrTrRJkHugZrCsw6sk+QijQ2XvDvzuizbbDKHELYIZOsBqTykJ88upCMBxeJdXwydSIzvbe&#10;RKbGBvoAiByQMQpyPAsiRk84Hl6tlosUZePoytJVjorHJ1jxfNuC8x+E6UnYlBQw94jODvfOh2xY&#10;8RwSszdK1jupVDSgrbYKyIFhc+zid0J3l2FKk6Gkq0W+iMivfO4SIo3f3yB66bHLlexLujwHsSLQ&#10;9l7XsQc9k2raY8pKn3gM1E0S+LEao055eCDQWpn6iMSCmZoahxA3nYGflAzY0CV1P/YMBCXqo0Zx&#10;Vtl8HiYgGvPFdY4GXHqqSw/THKFK6imZtls/Tc3egmw7fCmLbGhzi4I2MnL9ktUpfWzaKMFpwMJU&#10;XNox6uU3sPkFAAD//wMAUEsDBBQABgAIAAAAIQAi29Pk3gAAAAoBAAAPAAAAZHJzL2Rvd25yZXYu&#10;eG1sTI9BT4NAEIXvJv6HzZh4s4sQkSJLYzQ18djSi7eBHQFldwm7tOivd3qqx3nvy5v3is1iBnGk&#10;yffOKrhfRSDINk73tlVwqLZ3GQgf0GocnCUFP+RhU15fFZhrd7I7Ou5DKzjE+hwVdCGMuZS+6cig&#10;X7mRLHufbjIY+JxaqSc8cbgZZBxFqTTYW/7Q4UgvHTXf+9koqPv4gL+76i0y620S3pfqa/54Ver2&#10;Znl+AhFoCRcYzvW5OpTcqXaz1V4MCuIsSxhl4yEFwUCyPgs1C9ljCrIs5P8J5R8AAAD//wMAUEsB&#10;Ai0AFAAGAAgAAAAhALaDOJL+AAAA4QEAABMAAAAAAAAAAAAAAAAAAAAAAFtDb250ZW50X1R5cGVz&#10;XS54bWxQSwECLQAUAAYACAAAACEAOP0h/9YAAACUAQAACwAAAAAAAAAAAAAAAAAvAQAAX3JlbHMv&#10;LnJlbHNQSwECLQAUAAYACAAAACEAOsBcyykCAABOBAAADgAAAAAAAAAAAAAAAAAuAgAAZHJzL2Uy&#10;b0RvYy54bWxQSwECLQAUAAYACAAAACEAItvT5N4AAAAKAQAADwAAAAAAAAAAAAAAAACDBAAAZHJz&#10;L2Rvd25yZXYueG1sUEsFBgAAAAAEAAQA8wAAAI4FAAAAAA==&#10;">
                <v:textbox>
                  <w:txbxContent>
                    <w:p w:rsidR="003E47F7" w:rsidRPr="00A07623" w:rsidRDefault="003E47F7" w:rsidP="00A0762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07623"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A07623" w:rsidRPr="003E47F7" w:rsidRDefault="00A07623" w:rsidP="00A076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Validation du modèle de déclaration et délai de rapportage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ngXian" w:hAnsi="DengXian" w:cs="DengXi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99060</wp:posOffset>
                </wp:positionV>
                <wp:extent cx="679450" cy="1092200"/>
                <wp:effectExtent l="6350" t="5080" r="9525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7F7" w:rsidRPr="003E47F7" w:rsidRDefault="003E47F7" w:rsidP="003E47F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47F7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3E47F7" w:rsidRPr="003E47F7" w:rsidRDefault="003E47F7" w:rsidP="003E47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Collecte et rapportage par les entités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11.65pt;margin-top:7.8pt;width:53.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byKQIAAE4EAAAOAAAAZHJzL2Uyb0RvYy54bWysVNuO0zAQfUfiHyy/06Sl7W6jpqtVlyKk&#10;BVYsfIDjOImFb4zdJuXrGTvdbhd4QuTB8njGxzPnzGR9M2hFDgK8tKak00lOiTDc1tK0Jf32dffm&#10;mhIfmKmZskaU9Cg8vdm8frXuXSFmtrOqFkAQxPiidyXtQnBFlnneCc38xDph0NlY0CygCW1WA+sR&#10;XatslufLrLdQO7BceI+nd6OTbhJ+0wgePjeNF4GokmJuIa2Q1iqu2WbNihaY6yQ/pcH+IQvNpMFH&#10;z1B3LDCyB/kHlJYcrLdNmHCrM9s0kotUA1YzzX+r5rFjTqRakBzvzjT5/wfLPx0egMi6pEtKDNMo&#10;0RckjZlWCbKI9PTOFxj16B4gFujdveXfPTF222GUuAWwfSdYjUlNY3z24kI0PF4lVf/R1ojO9sEm&#10;poYGdAREDsiQBDmeBRFDIBwPl1er+QJl4+ia5qsZKp6eYMXTbQc+vBdWk7gpKWDuCZ0d7n2I2bDi&#10;KSRlb5Wsd1KpZEBbbRWQA8Pm2KXvhO4vw5QhfUlXi9kiIb/w+UuIPH1/g9AyYJcrqUt6fQ5iRaTt&#10;nalTDwYm1bjHlJU58RipGyUIQzUknd7GByKtla2PSCzYsalxCHHTWfhJSY8NXVL/Y89AUKI+GBRn&#10;NZ3P4wQkY764mqEBl57q0sMMR6iSBkrG7TaMU7N3INsOX5omNoy9RUEbmbh+zuqUPjZtkuA0YHEq&#10;Lu0U9fwb2PwCAAD//wMAUEsDBBQABgAIAAAAIQBw42BG3gAAAAoBAAAPAAAAZHJzL2Rvd25yZXYu&#10;eG1sTI9BT4NAEIXvJv6HzZh4s4tgsVKWxmhq4rGlF28DuwWUnSXs0qK/3vFUj/Pelzfv5ZvZ9uJk&#10;Rt85UnC/iEAYqp3uqFFwKLd3KxA+IGnsHRkF38bDpri+yjHT7kw7c9qHRnAI+QwVtCEMmZS+bo1F&#10;v3CDIfaObrQY+BwbqUc8c7jtZRxFqbTYEX9ocTAvram/9pNVUHXxAX925Vtkn7ZJeJ/Lz+njVanb&#10;m/l5DSKYOVxg+KvP1aHgTpWbSHvRK3iIk4RRNpYpCAaWScRCxcLqMQVZ5PL/hOIXAAD//wMAUEsB&#10;Ai0AFAAGAAgAAAAhALaDOJL+AAAA4QEAABMAAAAAAAAAAAAAAAAAAAAAAFtDb250ZW50X1R5cGVz&#10;XS54bWxQSwECLQAUAAYACAAAACEAOP0h/9YAAACUAQAACwAAAAAAAAAAAAAAAAAvAQAAX3JlbHMv&#10;LnJlbHNQSwECLQAUAAYACAAAACEA3LKG8ikCAABOBAAADgAAAAAAAAAAAAAAAAAuAgAAZHJzL2Uy&#10;b0RvYy54bWxQSwECLQAUAAYACAAAACEAcONgRt4AAAAKAQAADwAAAAAAAAAAAAAAAACDBAAAZHJz&#10;L2Rvd25yZXYueG1sUEsFBgAAAAAEAAQA8wAAAI4FAAAAAA==&#10;">
                <v:textbox>
                  <w:txbxContent>
                    <w:p w:rsidR="003E47F7" w:rsidRPr="003E47F7" w:rsidRDefault="003E47F7" w:rsidP="003E47F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47F7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3E47F7" w:rsidRPr="003E47F7" w:rsidRDefault="003E47F7" w:rsidP="003E47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Collecte et rapportage par les entités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ngXian" w:hAnsi="DengXian" w:cs="DengXi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99060</wp:posOffset>
                </wp:positionV>
                <wp:extent cx="692150" cy="1092200"/>
                <wp:effectExtent l="9525" t="5080" r="1270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9A" w:rsidRPr="003E47F7" w:rsidRDefault="007D6D9A" w:rsidP="007D6D9A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47F7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D6D9A" w:rsidRDefault="007D6D9A" w:rsidP="007D6D9A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Attestation des données par l’ISC</w:t>
                            </w:r>
                          </w:p>
                          <w:p w:rsidR="007D6D9A" w:rsidRPr="007D6D9A" w:rsidRDefault="007D6D9A" w:rsidP="007D6D9A">
                            <w:pPr>
                              <w:shd w:val="clear" w:color="auto" w:fill="92D0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78.65pt;margin-top:7.8pt;width:54.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rfKAIAAE4EAAAOAAAAZHJzL2Uyb0RvYy54bWysVNuO0zAQfUfiHyy/01zUlm3UdLXqUoS0&#10;wIqFD3AcJ7HwjbHbdPl6xk632wWeEHmwPJ7x8cw5M1lfH7UiBwFeWlPTYpZTIgy3rTR9Tb993b25&#10;osQHZlqmrBE1fRSeXm9ev1qPrhKlHaxqBRAEMb4aXU2HEFyVZZ4PQjM/s04YdHYWNAtoQp+1wEZE&#10;1yor83yZjRZaB5YL7/H0dnLSTcLvOsHD567zIhBVU8wtpBXS2sQ126xZ1QNzg+SnNNg/ZKGZNPjo&#10;GeqWBUb2IP+A0pKD9bYLM251ZrtOcpFqwGqK/LdqHgbmRKoFyfHuTJP/f7D80+EeiGxruqDEMI0S&#10;fUHSmOmVIMtIz+h8hVEP7h5igd7dWf7dE2O3A0aJGwA7DoK1mFQR47MXF6Lh8Sppxo+2RXS2DzYx&#10;dexAR0DkgByTII9nQcQxEI6Hy1VZLFA2jq4iX5WoeHqCVU+3HfjwXlhN4qamgLkndHa48yFmw6qn&#10;kJS9VbLdSaWSAX2zVUAODJtjl74Tur8MU4aMNV0tykVCfuHzlxB5+v4GoWXALldS1/TqHMSqSNs7&#10;06YeDEyqaY8pK3PiMVI3SRCOzTHpNI8PRFob2z4isWCnpsYhxM1g4SclIzZ0Tf2PPQNBifpgUJxV&#10;MZ/HCUjGfPG2RAMuPc2lhxmOUDUNlEzbbZimZu9A9gO+VCQ2jL1BQTuZuH7O6pQ+Nm2S4DRgcSou&#10;7RT1/BvY/AIAAP//AwBQSwMEFAAGAAgAAAAhABnXMtXeAAAACgEAAA8AAABkcnMvZG93bnJldi54&#10;bWxMj8FOwzAQRO9I/IO1SNyoQ6u4JcSpEKhIHNv0ws2JlyQQr6PYaQNfz3Iqx515mp3Jt7PrxQnH&#10;0HnScL9IQCDV3nbUaDiWu7sNiBANWdN7Qg3fGGBbXF/lJrP+THs8HWIjOIRCZjS0MQ6ZlKFu0Zmw&#10;8AMSex9+dCbyOTbSjubM4a6XyyRR0pmO+ENrBnxusf46TE5D1S2P5mdfvibuYbeKb3P5Ob2/aH17&#10;Mz89gog4xwsMf/W5OhTcqfIT2SB6DWm6XjHKRqpAMKCUYqFiYbNWIItc/p9Q/AIAAP//AwBQSwEC&#10;LQAUAAYACAAAACEAtoM4kv4AAADhAQAAEwAAAAAAAAAAAAAAAAAAAAAAW0NvbnRlbnRfVHlwZXNd&#10;LnhtbFBLAQItABQABgAIAAAAIQA4/SH/1gAAAJQBAAALAAAAAAAAAAAAAAAAAC8BAABfcmVscy8u&#10;cmVsc1BLAQItABQABgAIAAAAIQBjwWrfKAIAAE4EAAAOAAAAAAAAAAAAAAAAAC4CAABkcnMvZTJv&#10;RG9jLnhtbFBLAQItABQABgAIAAAAIQAZ1zLV3gAAAAoBAAAPAAAAAAAAAAAAAAAAAIIEAABkcnMv&#10;ZG93bnJldi54bWxQSwUGAAAAAAQABADzAAAAjQUAAAAA&#10;">
                <v:textbox>
                  <w:txbxContent>
                    <w:p w:rsidR="007D6D9A" w:rsidRPr="003E47F7" w:rsidRDefault="007D6D9A" w:rsidP="007D6D9A">
                      <w:pPr>
                        <w:shd w:val="clear" w:color="auto" w:fill="92D050"/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47F7"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7D6D9A" w:rsidRDefault="007D6D9A" w:rsidP="007D6D9A">
                      <w:pPr>
                        <w:shd w:val="clear" w:color="auto" w:fill="92D05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Attestation des données par l’ISC</w:t>
                      </w:r>
                    </w:p>
                    <w:p w:rsidR="007D6D9A" w:rsidRPr="007D6D9A" w:rsidRDefault="007D6D9A" w:rsidP="007D6D9A">
                      <w:pPr>
                        <w:shd w:val="clear" w:color="auto" w:fill="92D0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67310</wp:posOffset>
                </wp:positionV>
                <wp:extent cx="730250" cy="1123950"/>
                <wp:effectExtent l="6350" t="11430" r="6350" b="762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9A" w:rsidRPr="003E47F7" w:rsidRDefault="007D6D9A" w:rsidP="007D6D9A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47F7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7D6D9A" w:rsidRPr="007D6D9A" w:rsidRDefault="007D6D9A" w:rsidP="007D6D9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Rapprochement et ajustement des écarts par l’AI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342.15pt;margin-top:5.3pt;width:57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ZBKQIAAE4EAAAOAAAAZHJzL2Uyb0RvYy54bWysVNuO0zAQfUfiHyy/01y2pduo6WrVpQhp&#10;gRULH+A4TmLh2GbsNilfz9jpdrv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uqRzSjTr&#10;UaIvSBrTrRJkGegZrCsw6tE+QCjQ2XvDvzuizbbDKHELYIZOsBqTykJ88uJCMBxeJdXw0dSIzvbe&#10;RKbGBvoAiByQMQpyPAsiRk84Hi6v0nyBsnF0ZVl+tUIjPMGKp9sWnH8vTE/CpqSAuUd0drh3fgp9&#10;ConZGyXrnVQqGtBWWwXkwLA5dvE7obvLMKXJUNLVIl9E5Bc+dwmRxu9vEL302OVK9iW9PgexItD2&#10;TteYJis8k2raY3VKn3gM1E0S+LEao06L8ECgtTL1EYkFMzU1DiFuOgM/KRmwoUvqfuwZCErUB43i&#10;rLL5PExANOaLZY4GXHqqSw/THKFK6imZtls/Tc3egmw7fCmLbGhzi4I2MnL9nNUpfWzaqNZpwMJU&#10;XNox6vk3sPkFAAD//wMAUEsDBBQABgAIAAAAIQCMqk3w3gAAAAoBAAAPAAAAZHJzL2Rvd25yZXYu&#10;eG1sTI9BT4NAEIXvJv6HzZh4s7u2hgKyNEZTE48tvfS2wAgoO0vYpUV/veOpPc57X968l21m24sT&#10;jr5zpOFxoUAgVa7uqNFwKLYPMQgfDNWmd4QaftDDJr+9yUxauzPt8LQPjeAQ8qnR0IYwpFL6qkVr&#10;/MINSOx9utGawOfYyHo0Zw63vVwqFUlrOuIPrRnwtcXqez9ZDWW3PJjfXfGubLJdhY+5+JqOb1rf&#10;380vzyACzuECw399rg45dyrdRLUXvYYofloxyoaKQDCwThIWShbidQQyz+T1hPwPAAD//wMAUEsB&#10;Ai0AFAAGAAgAAAAhALaDOJL+AAAA4QEAABMAAAAAAAAAAAAAAAAAAAAAAFtDb250ZW50X1R5cGVz&#10;XS54bWxQSwECLQAUAAYACAAAACEAOP0h/9YAAACUAQAACwAAAAAAAAAAAAAAAAAvAQAAX3JlbHMv&#10;LnJlbHNQSwECLQAUAAYACAAAACEA+JfmQSkCAABOBAAADgAAAAAAAAAAAAAAAAAuAgAAZHJzL2Uy&#10;b0RvYy54bWxQSwECLQAUAAYACAAAACEAjKpN8N4AAAAKAQAADwAAAAAAAAAAAAAAAACDBAAAZHJz&#10;L2Rvd25yZXYueG1sUEsFBgAAAAAEAAQA8wAAAI4FAAAAAA==&#10;">
                <v:textbox>
                  <w:txbxContent>
                    <w:p w:rsidR="007D6D9A" w:rsidRPr="003E47F7" w:rsidRDefault="007D6D9A" w:rsidP="007D6D9A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47F7"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7D6D9A" w:rsidRPr="007D6D9A" w:rsidRDefault="007D6D9A" w:rsidP="007D6D9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Rapprochement et ajustement des écarts par l’AI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ngXian" w:hAnsi="DengXian" w:cs="DengXi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67310</wp:posOffset>
                </wp:positionV>
                <wp:extent cx="660400" cy="1123950"/>
                <wp:effectExtent l="12700" t="11430" r="12700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9A" w:rsidRPr="003E47F7" w:rsidRDefault="007D6D9A" w:rsidP="007D6D9A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47F7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7D6D9A" w:rsidRPr="007D6D9A" w:rsidRDefault="007D6D9A" w:rsidP="007D6D9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Production et validation du rapport ITIE</w:t>
                            </w:r>
                          </w:p>
                          <w:p w:rsidR="007D6D9A" w:rsidRDefault="007D6D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13.15pt;margin-top:5.3pt;width:52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wlKwIAAE4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t5QolmH&#10;Fn1B0ZhulCDLIE9vXY5VT/YRQoPOPhj+3RFtti1WiTsA07eCVUgqC/XJiwMhcHiUlP1HUyE623sT&#10;lRpq6AIgakCGaMjxYogYPOH4crFIZynaxjGVZdOb1Tw6lrD8fNqC8++F6UjYFBSQe0RnhwfnAxuW&#10;n0sie6NktZNKxQCacquAHBgOxy4+sQFs8rpMadIXdDWfziPyi5y7hkjj8zeITnqcciW7gi4vRSwP&#10;sr3TVZxBz6Qa90hZ6ZOOQbrRAj+UQ/RpcTalNNURhQUzDjVeQty0Bn5S0uNAF9T92DMQlKgPGs1Z&#10;ZbNZuAExmM3fTjGA60x5nWGaI1RBPSXjduvHW7O3IJsWv5RFNbS5Q0NrGbUOZo+sTvRxaKMFpwsW&#10;bsV1HKt+/QY2zwAAAP//AwBQSwMEFAAGAAgAAAAhAFomX0feAAAACgEAAA8AAABkcnMvZG93bnJl&#10;di54bWxMj0FPg0AQhe9N/A+bMfHW7goJUmRpjKYmHlt68bbACCg7S9ilRX+948ke570vb97Ld4sd&#10;xBkn3zvScL9RIJBq1/TUajiV+3UKwgdDjRkcoYZv9LArbla5yRp3oQOej6EVHEI+Mxq6EMZMSl93&#10;aI3fuBGJvQ83WRP4nFrZTObC4XaQkVKJtKYn/tCZEZ87rL+Os9VQ9dHJ/BzKV2W3+zi8LeXn/P6i&#10;9d3t8vQIIuAS/mH4q8/VoeBOlZup8WLQkEZJzCgbKgHBwDZWLFQspA8JyCKX1xOKXwAAAP//AwBQ&#10;SwECLQAUAAYACAAAACEAtoM4kv4AAADhAQAAEwAAAAAAAAAAAAAAAAAAAAAAW0NvbnRlbnRfVHlw&#10;ZXNdLnhtbFBLAQItABQABgAIAAAAIQA4/SH/1gAAAJQBAAALAAAAAAAAAAAAAAAAAC8BAABfcmVs&#10;cy8ucmVsc1BLAQItABQABgAIAAAAIQD/wKwlKwIAAE4EAAAOAAAAAAAAAAAAAAAAAC4CAABkcnMv&#10;ZTJvRG9jLnhtbFBLAQItABQABgAIAAAAIQBaJl9H3gAAAAoBAAAPAAAAAAAAAAAAAAAAAIUEAABk&#10;cnMvZG93bnJldi54bWxQSwUGAAAAAAQABADzAAAAkAUAAAAA&#10;">
                <v:textbox>
                  <w:txbxContent>
                    <w:p w:rsidR="007D6D9A" w:rsidRPr="003E47F7" w:rsidRDefault="007D6D9A" w:rsidP="007D6D9A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47F7"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7D6D9A" w:rsidRPr="007D6D9A" w:rsidRDefault="007D6D9A" w:rsidP="007D6D9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Production et validation du rapport ITIE</w:t>
                      </w:r>
                    </w:p>
                    <w:p w:rsidR="007D6D9A" w:rsidRDefault="007D6D9A"/>
                  </w:txbxContent>
                </v:textbox>
              </v:rect>
            </w:pict>
          </mc:Fallback>
        </mc:AlternateContent>
      </w:r>
    </w:p>
    <w:p w:rsidR="00A64AE4" w:rsidRDefault="00A64AE4" w:rsidP="00A64AE4"/>
    <w:p w:rsidR="00A64AE4" w:rsidRDefault="00A64AE4" w:rsidP="00A64AE4"/>
    <w:p w:rsidR="00A07623" w:rsidRDefault="00A07623" w:rsidP="00A07623"/>
    <w:p w:rsidR="00A07623" w:rsidRDefault="00A07623" w:rsidP="00665475">
      <w:pPr>
        <w:jc w:val="center"/>
      </w:pPr>
    </w:p>
    <w:p w:rsidR="00CE4B0B" w:rsidRDefault="00FD5774" w:rsidP="0066547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132715</wp:posOffset>
                </wp:positionV>
                <wp:extent cx="4165600" cy="485775"/>
                <wp:effectExtent l="50800" t="13970" r="31750" b="1460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485775"/>
                        </a:xfrm>
                        <a:prstGeom prst="notchedRightArrow">
                          <a:avLst>
                            <a:gd name="adj1" fmla="val 50000"/>
                            <a:gd name="adj2" fmla="val 214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7F7" w:rsidRPr="00CE4B0B" w:rsidRDefault="003E4229" w:rsidP="00CE4B0B">
                            <w:pPr>
                              <w:rPr>
                                <w:color w:val="76923C" w:themeColor="accent3" w:themeShade="BF"/>
                              </w:rPr>
                            </w:pPr>
                            <w:r>
                              <w:t>…………………………………………………………</w:t>
                            </w:r>
                            <w:r w:rsidR="00CE4B0B">
                              <w:t xml:space="preserve"> </w:t>
                            </w:r>
                            <w:r w:rsidR="00CE4B0B" w:rsidRPr="00CE4B0B">
                              <w:rPr>
                                <w:color w:val="76923C" w:themeColor="accent3" w:themeShade="BF"/>
                              </w:rPr>
                              <w:t>Interv. de l’IS</w:t>
                            </w:r>
                            <w:r w:rsidR="00CE4B0B">
                              <w:rPr>
                                <w:color w:val="76923C" w:themeColor="accent3" w:themeShade="B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3" o:spid="_x0000_s1033" type="#_x0000_t94" style="position:absolute;left:0;text-align:left;margin-left:5.15pt;margin-top:10.45pt;width:328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v+VAIAAK4EAAAOAAAAZHJzL2Uyb0RvYy54bWysVNtu2zAMfR+wfxD0vjpO46Y14hRFug4D&#10;uq1Ytw9gJDnWptskJU779aNkN022t2F+MESTOjzkIb243mtFdsIHaU1Dy7MJJcIwy6XZNPT7t7t3&#10;l5SECIaDskY09EkEer18+2bRu1pMbWcVF54giAl17xraxejqogisExrCmXXCoLO1XkNE028K7qFH&#10;dK2K6WRyUfTWc+ctEyHg19vBSZcZv20Fi1/aNohIVEORW8xvn9/r9C6WC6g3Hlwn2UgD/oGFBmkw&#10;6QHqFiKQrZd/QWnJvA22jWfM6sK2rWQi14DVlJM/qnnswIlcCzYnuEObwv+DZZ93D55I3tApJQY0&#10;SnSzjTZnJuV56k/vQo1hj+7BpwqDu7fsZyDGrjowG3Hjve07ARxZlSm+OLmQjIBXybr/ZDnCA8Ln&#10;Vu1brxMgNoHssyJPB0XEPhKGH2flRXUxQeEY+maX1Xxe5RRQv9x2PsQPwmqSDg01NuLo8K9y08XM&#10;LKeC3X2IWR4+Fgn8R0lJqxWqvQNFqgk+4zQcxWBTXmOm5ex8fjXmHyELqF8Y5OZYJfmdVCobfrNe&#10;KU8Qv6F3+Rkvh+MwZUjf0KtqWmWuJ75wDJEoDiQx60mYlhG3SEnd0MtDENRJlfeG5xmPINVwxsvK&#10;jDIlZQaF4369z3MwTxyTamvLn1A3b4elwSXHQ2f9MyU9LkxDw68teEGJ+mhQ+6tyNksblo1ZNZ+i&#10;4Y8962MPGIZQDY2UDMdVHLZy63zSLs1S6qGxaRxbGV8Ga2A10selwNPJ1h3bOer1N7P8DQAA//8D&#10;AFBLAwQUAAYACAAAACEAHcBbENsAAAAIAQAADwAAAGRycy9kb3ducmV2LnhtbEyPwU7DMBBE70j8&#10;g7VI3KhNQCFN41RQCe60CInbJnbjiHgdxU4b+HqWExxnZzT7ptoufhAnO8U+kIbblQJhqQ2mp07D&#10;2+H5pgARE5LBIZDV8GUjbOvLiwpLE870ak/71AkuoViiBpfSWEoZW2c9xlUYLbF3DJPHxHLqpJnw&#10;zOV+kJlSufTYE39wONqds+3nfvYa8gm/4/yCTZfR+/yxk8WTdIXW11fL4wZEskv6C8MvPqNDzUxN&#10;mMlEMbBWd5zUkKk1CPbzPOdDo2H9cA+yruT/AfUPAAAA//8DAFBLAQItABQABgAIAAAAIQC2gziS&#10;/gAAAOEBAAATAAAAAAAAAAAAAAAAAAAAAABbQ29udGVudF9UeXBlc10ueG1sUEsBAi0AFAAGAAgA&#10;AAAhADj9If/WAAAAlAEAAAsAAAAAAAAAAAAAAAAALwEAAF9yZWxzLy5yZWxzUEsBAi0AFAAGAAgA&#10;AAAhAGqye/5UAgAArgQAAA4AAAAAAAAAAAAAAAAALgIAAGRycy9lMm9Eb2MueG1sUEsBAi0AFAAG&#10;AAgAAAAhAB3AWxDbAAAACAEAAA8AAAAAAAAAAAAAAAAArgQAAGRycy9kb3ducmV2LnhtbFBLBQYA&#10;AAAABAAEAPMAAAC2BQAAAAA=&#10;">
                <v:textbox>
                  <w:txbxContent>
                    <w:p w:rsidR="003E47F7" w:rsidRPr="00CE4B0B" w:rsidRDefault="003E4229" w:rsidP="00CE4B0B">
                      <w:pPr>
                        <w:rPr>
                          <w:color w:val="76923C" w:themeColor="accent3" w:themeShade="BF"/>
                        </w:rPr>
                      </w:pPr>
                      <w:r>
                        <w:t>…………………………………………………………</w:t>
                      </w:r>
                      <w:r w:rsidR="00CE4B0B">
                        <w:t xml:space="preserve"> </w:t>
                      </w:r>
                      <w:r w:rsidR="00CE4B0B" w:rsidRPr="00CE4B0B">
                        <w:rPr>
                          <w:color w:val="76923C" w:themeColor="accent3" w:themeShade="BF"/>
                        </w:rPr>
                        <w:t>Interv. de l’IS</w:t>
                      </w:r>
                      <w:r w:rsidR="00CE4B0B">
                        <w:rPr>
                          <w:color w:val="76923C" w:themeColor="accent3" w:themeShade="BF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E4B0B" w:rsidRPr="00CE4B0B" w:rsidRDefault="00CE4B0B" w:rsidP="00CE4B0B"/>
    <w:p w:rsidR="00CE4B0B" w:rsidRPr="00CE4B0B" w:rsidRDefault="00FD5774" w:rsidP="00CE4B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234950</wp:posOffset>
                </wp:positionV>
                <wp:extent cx="5734050" cy="527050"/>
                <wp:effectExtent l="31750" t="19685" r="34925" b="152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27050"/>
                        </a:xfrm>
                        <a:prstGeom prst="leftRightArrow">
                          <a:avLst>
                            <a:gd name="adj1" fmla="val 50000"/>
                            <a:gd name="adj2" fmla="val 2175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75" w:rsidRDefault="00665475" w:rsidP="007D6D9A">
                            <w:pPr>
                              <w:shd w:val="clear" w:color="auto" w:fill="17365D" w:themeFill="text2" w:themeFillShade="BF"/>
                              <w:jc w:val="center"/>
                            </w:pPr>
                            <w:r>
                              <w:t>Intervention de l’AI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2" o:spid="_x0000_s1034" type="#_x0000_t69" style="position:absolute;margin-left:5.15pt;margin-top:18.5pt;width:451.5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bKTwIAAKsEAAAOAAAAZHJzL2Uyb0RvYy54bWysVNuO0zAQfUfiHyy/06ShoW3UdLXqUoS0&#10;wIqFD3BtpzH4hu02LV/P2ElLCm+IPESezPjMmTkzWd2dlERH7rwwusbTSY4R19Qwofc1/vpl+2qB&#10;kQ9EMyKN5jU+c4/v1i9frDpb8cK0RjLuEIBoX3W2xm0ItsoyT1uuiJ8YyzU4G+MUCWC6fcYc6QBd&#10;yazI8zdZZxyzzlDuPXx96J14nfCbhtPwqWk8D0jWGLiF9HbpvYvvbL0i1d4R2wo60CD/wEIRoSHp&#10;FeqBBIIOTvwFpQR1xpsmTKhRmWkaQXmqAaqZ5n9U89wSy1Mt0Bxvr23y/w+Wfjw+OSQYaIeRJgok&#10;uj8EkzKjaRH701lfQdizfXKxQm8fDf3ukTablug9v3fOdC0nDFhNY3x2cyEaHq6iXffBMIAnAJ9a&#10;dWqcioDQBHRKipyvivBTQBQ+lvPXs7wE4Sj4ymIezzEFqS63rfPhHTcKxUONJW/CZ7FvQ6KV8pDj&#10;ow9JGzZUSNg3qLZREqQ+EonKHJ5hFEYxxTimmM7L5SX5AAk0LulTZ4wUbCukTIbb7zbSIcCv8TY9&#10;A3M/DpMadTVelkWZuN74/BgiUuxJQtabMCUCrJAUqsaLaxCpoiRvNUsDHoiQ/RkuSz1oFGXp5Q2n&#10;3SkNwSJyjJLtDDuDaM70GwMbDofWuJ8YdbAtNfY/DsRxjOR7DcIvp7NZXK9kzMp5AYYbe3ZjD9EU&#10;oGocMOqPm9Cv5MG6qF0cpNhDbeIsNiJcpqpnNdCHjUiTMGxvXLmxnaJ+/2PWvwAAAP//AwBQSwME&#10;FAAGAAgAAAAhAA01LlbZAAAACQEAAA8AAABkcnMvZG93bnJldi54bWxMT8tOwzAQvCPxD9YicaNO&#10;G6lAGqeqEJw40VJx3cTbJCJeW7HbJn/PcoLj7MzOo9xOblAXGmPv2cBykYEibrztuTXweXh7eAIV&#10;E7LFwTMZmCnCtrq9KbGw/sofdNmnVokJxwINdCmFQuvYdOQwLnwgFu7kR4dJ4NhqO+JVzN2gV1m2&#10;1g57loQOA7101Hzvz05q2D4c5/Vhfl012r/vjl+hnnJj7u+m3QZUoin9ieG3vvxAJZ1qf2Yb1SA4&#10;y0VpIH+UScI/L3M51EJILuiq1P8XVD8AAAD//wMAUEsBAi0AFAAGAAgAAAAhALaDOJL+AAAA4QEA&#10;ABMAAAAAAAAAAAAAAAAAAAAAAFtDb250ZW50X1R5cGVzXS54bWxQSwECLQAUAAYACAAAACEAOP0h&#10;/9YAAACUAQAACwAAAAAAAAAAAAAAAAAvAQAAX3JlbHMvLnJlbHNQSwECLQAUAAYACAAAACEA8FEm&#10;yk8CAACrBAAADgAAAAAAAAAAAAAAAAAuAgAAZHJzL2Uyb0RvYy54bWxQSwECLQAUAAYACAAAACEA&#10;DTUuVtkAAAAJAQAADwAAAAAAAAAAAAAAAACpBAAAZHJzL2Rvd25yZXYueG1sUEsFBgAAAAAEAAQA&#10;8wAAAK8FAAAAAA==&#10;">
                <v:textbox>
                  <w:txbxContent>
                    <w:p w:rsidR="00665475" w:rsidRDefault="00665475" w:rsidP="007D6D9A">
                      <w:pPr>
                        <w:shd w:val="clear" w:color="auto" w:fill="17365D" w:themeFill="text2" w:themeFillShade="BF"/>
                        <w:jc w:val="center"/>
                      </w:pPr>
                      <w:r>
                        <w:t>Intervention de l’AI</w:t>
                      </w:r>
                    </w:p>
                  </w:txbxContent>
                </v:textbox>
              </v:shape>
            </w:pict>
          </mc:Fallback>
        </mc:AlternateContent>
      </w:r>
    </w:p>
    <w:p w:rsidR="00CE4B0B" w:rsidRDefault="00CE4B0B" w:rsidP="00CE4B0B"/>
    <w:p w:rsidR="00A64AE4" w:rsidRDefault="00CE4B0B" w:rsidP="00CE4B0B">
      <w:pPr>
        <w:tabs>
          <w:tab w:val="left" w:pos="2350"/>
        </w:tabs>
      </w:pPr>
      <w:r>
        <w:tab/>
      </w:r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rPr>
          <w:rFonts w:ascii="DengXian" w:hAnsi="DengXian" w:cs="DengXian"/>
          <w:color w:val="000000"/>
          <w:sz w:val="24"/>
          <w:szCs w:val="24"/>
        </w:rPr>
      </w:pPr>
    </w:p>
    <w:p w:rsidR="00CE4B0B" w:rsidRPr="00CE4B0B" w:rsidRDefault="00CE4B0B" w:rsidP="00CE4B0B">
      <w:pPr>
        <w:tabs>
          <w:tab w:val="left" w:pos="2350"/>
        </w:tabs>
      </w:pPr>
    </w:p>
    <w:sectPr w:rsidR="00CE4B0B" w:rsidRPr="00CE4B0B" w:rsidSect="003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Deng Xian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EE3B4E"/>
    <w:multiLevelType w:val="hybridMultilevel"/>
    <w:tmpl w:val="71854C8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C1AD5B"/>
    <w:multiLevelType w:val="hybridMultilevel"/>
    <w:tmpl w:val="8FE6F34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34219A"/>
    <w:multiLevelType w:val="hybridMultilevel"/>
    <w:tmpl w:val="CB9084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EE1D7B"/>
    <w:multiLevelType w:val="hybridMultilevel"/>
    <w:tmpl w:val="493CF4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360A1E6">
      <w:numFmt w:val="bullet"/>
      <w:lvlText w:val="-"/>
      <w:lvlJc w:val="left"/>
      <w:pPr>
        <w:ind w:left="1440" w:hanging="360"/>
      </w:pPr>
      <w:rPr>
        <w:rFonts w:ascii="Corbel" w:eastAsiaTheme="minorHAnsi" w:hAnsi="Corbel" w:cs="Corbe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A"/>
    <w:rsid w:val="0009708A"/>
    <w:rsid w:val="0026346F"/>
    <w:rsid w:val="003E292A"/>
    <w:rsid w:val="003E4229"/>
    <w:rsid w:val="003E47F7"/>
    <w:rsid w:val="003F69DD"/>
    <w:rsid w:val="004E22FD"/>
    <w:rsid w:val="00614D70"/>
    <w:rsid w:val="00665475"/>
    <w:rsid w:val="006A4CDE"/>
    <w:rsid w:val="007D6D9A"/>
    <w:rsid w:val="00884B25"/>
    <w:rsid w:val="00A07623"/>
    <w:rsid w:val="00A17F17"/>
    <w:rsid w:val="00A64AE4"/>
    <w:rsid w:val="00CE4B0B"/>
    <w:rsid w:val="00E24D0B"/>
    <w:rsid w:val="00F54C5D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B10FB1E-E31F-4BBC-B082-17133E6B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4A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48C22-EEE0-4442-8C50-198B016F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NEPIDE</dc:creator>
  <cp:lastModifiedBy>Admin</cp:lastModifiedBy>
  <cp:revision>2</cp:revision>
  <dcterms:created xsi:type="dcterms:W3CDTF">2022-03-17T12:05:00Z</dcterms:created>
  <dcterms:modified xsi:type="dcterms:W3CDTF">2022-03-17T12:05:00Z</dcterms:modified>
</cp:coreProperties>
</file>